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E10" w:rsidRPr="00667D50" w:rsidRDefault="00137E10" w:rsidP="00137E10">
      <w:pPr>
        <w:adjustRightInd w:val="0"/>
        <w:snapToGrid w:val="0"/>
        <w:spacing w:line="560" w:lineRule="exact"/>
        <w:jc w:val="left"/>
        <w:rPr>
          <w:rFonts w:ascii="仿宋_GB2312" w:eastAsia="仿宋_GB2312" w:hAnsi="Times New Roman" w:cs="宋体"/>
          <w:b/>
          <w:color w:val="000000"/>
          <w:kern w:val="0"/>
          <w:sz w:val="30"/>
          <w:szCs w:val="30"/>
        </w:rPr>
      </w:pPr>
      <w:bookmarkStart w:id="0" w:name="_GoBack"/>
      <w:bookmarkEnd w:id="0"/>
      <w:r w:rsidRPr="00667D50">
        <w:rPr>
          <w:rFonts w:ascii="仿宋_GB2312" w:eastAsia="仿宋_GB2312" w:hAnsi="Times New Roman" w:cs="宋体" w:hint="eastAsia"/>
          <w:color w:val="000000"/>
          <w:kern w:val="0"/>
          <w:sz w:val="30"/>
          <w:szCs w:val="30"/>
        </w:rPr>
        <w:t>附件1</w:t>
      </w:r>
    </w:p>
    <w:p w:rsidR="00137E10" w:rsidRPr="00667D50" w:rsidRDefault="00137E10" w:rsidP="00137E10">
      <w:pPr>
        <w:adjustRightInd w:val="0"/>
        <w:snapToGrid w:val="0"/>
        <w:spacing w:line="560" w:lineRule="exact"/>
        <w:jc w:val="center"/>
        <w:rPr>
          <w:rFonts w:ascii="仿宋_GB2312" w:eastAsia="仿宋_GB2312" w:hAnsi="Times New Roman" w:cs="宋体"/>
          <w:color w:val="000000"/>
          <w:kern w:val="0"/>
          <w:sz w:val="30"/>
          <w:szCs w:val="30"/>
        </w:rPr>
      </w:pPr>
    </w:p>
    <w:p w:rsidR="00137E10" w:rsidRPr="00667D50" w:rsidRDefault="00907AD6" w:rsidP="00137E10">
      <w:pPr>
        <w:adjustRightInd w:val="0"/>
        <w:snapToGrid w:val="0"/>
        <w:spacing w:line="560" w:lineRule="exact"/>
        <w:jc w:val="center"/>
        <w:rPr>
          <w:rFonts w:ascii="黑体" w:eastAsia="黑体" w:hAnsi="黑体"/>
          <w:b/>
          <w:kern w:val="0"/>
          <w:sz w:val="44"/>
        </w:rPr>
      </w:pPr>
      <w:r w:rsidRPr="00667D50">
        <w:rPr>
          <w:rFonts w:ascii="黑体" w:eastAsia="黑体" w:hAnsi="黑体" w:hint="eastAsia"/>
          <w:b/>
          <w:kern w:val="0"/>
          <w:sz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137E10" w:rsidRPr="00667D50">
        <w:rPr>
          <w:rFonts w:ascii="黑体" w:eastAsia="黑体" w:hAnsi="黑体"/>
          <w:b/>
          <w:kern w:val="0"/>
          <w:sz w:val="44"/>
        </w:rPr>
        <w:instrText>ADDIN CNKISM.UserStyle</w:instrText>
      </w:r>
      <w:r w:rsidRPr="00667D50">
        <w:rPr>
          <w:rFonts w:ascii="黑体" w:eastAsia="黑体" w:hAnsi="黑体" w:hint="eastAsia"/>
          <w:b/>
          <w:kern w:val="0"/>
          <w:sz w:val="44"/>
        </w:rPr>
      </w:r>
      <w:r w:rsidRPr="00667D50">
        <w:rPr>
          <w:rFonts w:ascii="黑体" w:eastAsia="黑体" w:hAnsi="黑体" w:hint="eastAsia"/>
          <w:b/>
          <w:kern w:val="0"/>
          <w:sz w:val="44"/>
        </w:rPr>
        <w:fldChar w:fldCharType="end"/>
      </w:r>
      <w:r w:rsidR="00137E10" w:rsidRPr="00667D50">
        <w:rPr>
          <w:rFonts w:ascii="黑体" w:eastAsia="黑体" w:hAnsi="黑体" w:hint="eastAsia"/>
          <w:b/>
          <w:kern w:val="0"/>
          <w:sz w:val="44"/>
        </w:rPr>
        <w:t>上海证券交易所债券交易规则</w:t>
      </w:r>
    </w:p>
    <w:p w:rsidR="00137E10" w:rsidRPr="00667D50" w:rsidRDefault="00137E10" w:rsidP="00137E10">
      <w:pPr>
        <w:adjustRightInd w:val="0"/>
        <w:snapToGrid w:val="0"/>
        <w:spacing w:line="560" w:lineRule="exact"/>
        <w:rPr>
          <w:rFonts w:ascii="仿宋_GB2312" w:eastAsia="仿宋_GB2312" w:hAnsi="Times New Roman" w:cs="宋体"/>
          <w:kern w:val="0"/>
          <w:sz w:val="30"/>
          <w:szCs w:val="30"/>
        </w:rPr>
      </w:pPr>
    </w:p>
    <w:p w:rsidR="00137E10" w:rsidRPr="00667D50" w:rsidRDefault="00137E10" w:rsidP="00137E10">
      <w:pPr>
        <w:pStyle w:val="1"/>
        <w:keepNext w:val="0"/>
        <w:keepLines w:val="0"/>
        <w:numPr>
          <w:ilvl w:val="0"/>
          <w:numId w:val="1"/>
        </w:numPr>
        <w:spacing w:before="0" w:after="0" w:line="560" w:lineRule="exact"/>
        <w:ind w:left="748" w:hanging="748"/>
        <w:jc w:val="center"/>
        <w:rPr>
          <w:rFonts w:ascii="黑体" w:eastAsia="黑体" w:hAnsi="黑体"/>
          <w:sz w:val="30"/>
          <w:szCs w:val="30"/>
        </w:rPr>
      </w:pPr>
      <w:bookmarkStart w:id="1" w:name="_Toc18595377"/>
      <w:bookmarkStart w:id="2" w:name="_Toc27643079"/>
      <w:bookmarkEnd w:id="1"/>
      <w:r w:rsidRPr="00667D50">
        <w:rPr>
          <w:rFonts w:ascii="黑体" w:eastAsia="黑体" w:hAnsi="黑体" w:hint="eastAsia"/>
          <w:sz w:val="30"/>
          <w:szCs w:val="30"/>
        </w:rPr>
        <w:t>总则</w:t>
      </w:r>
      <w:bookmarkEnd w:id="2"/>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为规范债券交易行为，保护投资者合法权益，维护债券市场秩序，根据《中华人民共和国证券法》《证券交易所管理办法》等法律、行政法规、部门规章、规范性文件及《上海证券交易所章程》，制定本规则。</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在上海证券交易所（以下简称本所）开展的债券、资产支持证券和其他具有固定收益特征的产品的交易或者转让（以下简称债券交易）适用本规则。本所对上市公司发行的可转换公司债券的交易另有规定的，从其规定。</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在本所开展的债券交易类型包括债券现券交易、债券回购交易、债券预发行交易以及本所认可的其他交易类型。</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left="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本规则未作规定的，适用本所其他相关业务规则的规定。</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债券交易应当遵循公开、公平、公正以及自愿、有偿、诚实信用等原则。</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参与主体开展债券交易及相关业务，应当遵守法律、行政法规、部门规章、规范性文件、本规则和本所其他相关业务规则的规定，以及相关协议的约定。</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债券投资者（包括债券交易参与人和其他债券投资者）可以根据相关规定和自身交易需求，自主选择债券交易品种和交易结算方式。</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lastRenderedPageBreak/>
        <w:t>本所为债券交易提供设施和相关服务，并依据本规则和本所其他相关业务规则对债券交易相关的业务活动进行自律管理。</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本所债券交易参与人（含债券做市商）、其他债券投资者、为债券交易提供专业服务的机构及其相关人员等监管对象应当接受本所自律管理。</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债券交易的登记、存管和结算，由登记结算机构按照相关规则办理。</w:t>
      </w:r>
    </w:p>
    <w:p w:rsidR="00137E10" w:rsidRPr="00667D50" w:rsidRDefault="00137E10" w:rsidP="00137E10">
      <w:pPr>
        <w:pStyle w:val="1"/>
        <w:keepNext w:val="0"/>
        <w:keepLines w:val="0"/>
        <w:numPr>
          <w:ilvl w:val="0"/>
          <w:numId w:val="1"/>
        </w:numPr>
        <w:spacing w:before="0" w:after="0" w:line="560" w:lineRule="exact"/>
        <w:ind w:left="748" w:hanging="748"/>
        <w:jc w:val="center"/>
        <w:rPr>
          <w:rFonts w:ascii="黑体" w:eastAsia="黑体" w:hAnsi="黑体"/>
          <w:sz w:val="30"/>
          <w:szCs w:val="30"/>
        </w:rPr>
      </w:pPr>
      <w:bookmarkStart w:id="3" w:name="_Toc18595379"/>
      <w:bookmarkStart w:id="4" w:name="_Toc27643080"/>
      <w:bookmarkEnd w:id="3"/>
      <w:r w:rsidRPr="00667D50">
        <w:rPr>
          <w:rFonts w:ascii="黑体" w:eastAsia="黑体" w:hAnsi="黑体" w:hint="eastAsia"/>
          <w:sz w:val="30"/>
          <w:szCs w:val="30"/>
        </w:rPr>
        <w:t>参与主体</w:t>
      </w:r>
      <w:bookmarkEnd w:id="4"/>
    </w:p>
    <w:p w:rsidR="00137E10" w:rsidRPr="00667D50" w:rsidRDefault="00137E10" w:rsidP="00137E10">
      <w:pPr>
        <w:pStyle w:val="2"/>
        <w:keepNext w:val="0"/>
        <w:keepLines w:val="0"/>
        <w:numPr>
          <w:ilvl w:val="0"/>
          <w:numId w:val="3"/>
        </w:numPr>
        <w:spacing w:before="0" w:after="0" w:line="560" w:lineRule="exact"/>
        <w:jc w:val="center"/>
        <w:rPr>
          <w:rFonts w:ascii="仿宋_GB2312" w:eastAsia="仿宋_GB2312" w:hAnsi="Times New Roman"/>
          <w:color w:val="000000"/>
          <w:sz w:val="30"/>
          <w:szCs w:val="30"/>
        </w:rPr>
      </w:pPr>
      <w:bookmarkStart w:id="5" w:name="_Toc27643081"/>
      <w:r w:rsidRPr="00667D50">
        <w:rPr>
          <w:rFonts w:ascii="仿宋_GB2312" w:eastAsia="仿宋_GB2312" w:hAnsi="Times New Roman" w:hint="eastAsia"/>
          <w:color w:val="000000"/>
          <w:sz w:val="30"/>
          <w:szCs w:val="30"/>
        </w:rPr>
        <w:t>债券交易参与人</w:t>
      </w:r>
      <w:bookmarkEnd w:id="5"/>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本所会员直接成为债券交易参与人，非会员机构可以按照相关规定申请成为债券交易参与人。</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非会员机构申请成为债券交易参与人，应当符合下列条件：</w:t>
      </w:r>
    </w:p>
    <w:p w:rsidR="00137E10" w:rsidRPr="00667D50" w:rsidRDefault="00137E10" w:rsidP="00137E10">
      <w:pPr>
        <w:pStyle w:val="a5"/>
        <w:widowControl w:val="0"/>
        <w:numPr>
          <w:ilvl w:val="0"/>
          <w:numId w:val="4"/>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具备较强的资本、资金实力与持续经营能力，或者具有参与本所债券交易的相应功能；</w:t>
      </w:r>
    </w:p>
    <w:p w:rsidR="00137E10" w:rsidRPr="00667D50" w:rsidRDefault="00137E10" w:rsidP="00137E10">
      <w:pPr>
        <w:pStyle w:val="a5"/>
        <w:widowControl w:val="0"/>
        <w:numPr>
          <w:ilvl w:val="0"/>
          <w:numId w:val="4"/>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具有独立的债券交易团队；</w:t>
      </w:r>
    </w:p>
    <w:p w:rsidR="00137E10" w:rsidRPr="00667D50" w:rsidRDefault="00137E10" w:rsidP="00137E10">
      <w:pPr>
        <w:pStyle w:val="a5"/>
        <w:widowControl w:val="0"/>
        <w:numPr>
          <w:ilvl w:val="0"/>
          <w:numId w:val="4"/>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具有完善的交易业务管理制度和风险控制制度；</w:t>
      </w:r>
    </w:p>
    <w:p w:rsidR="00137E10" w:rsidRPr="00667D50" w:rsidRDefault="00137E10" w:rsidP="00137E10">
      <w:pPr>
        <w:pStyle w:val="a5"/>
        <w:widowControl w:val="0"/>
        <w:numPr>
          <w:ilvl w:val="0"/>
          <w:numId w:val="4"/>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具有能够支持开展债券交易的相关技术系统；</w:t>
      </w:r>
    </w:p>
    <w:p w:rsidR="00137E10" w:rsidRPr="00667D50" w:rsidRDefault="00137E10" w:rsidP="00137E10">
      <w:pPr>
        <w:pStyle w:val="a5"/>
        <w:widowControl w:val="0"/>
        <w:numPr>
          <w:ilvl w:val="0"/>
          <w:numId w:val="4"/>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债券投资交易量较大，具有较强的债券交易需求；</w:t>
      </w:r>
    </w:p>
    <w:p w:rsidR="00137E10" w:rsidRPr="00667D50" w:rsidRDefault="00137E10" w:rsidP="00137E10">
      <w:pPr>
        <w:pStyle w:val="a5"/>
        <w:widowControl w:val="0"/>
        <w:numPr>
          <w:ilvl w:val="0"/>
          <w:numId w:val="4"/>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近2年无债券交易结算重大违法违规行为；</w:t>
      </w:r>
    </w:p>
    <w:p w:rsidR="00137E10" w:rsidRPr="00667D50" w:rsidRDefault="00137E10" w:rsidP="00137E10">
      <w:pPr>
        <w:pStyle w:val="a5"/>
        <w:widowControl w:val="0"/>
        <w:numPr>
          <w:ilvl w:val="0"/>
          <w:numId w:val="4"/>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本所规定的其他条件。</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非会员机构申请成为债券交易参与人，应当向本所提交申请文件。申请文件应当包含以下内容:</w:t>
      </w:r>
    </w:p>
    <w:p w:rsidR="00137E10" w:rsidRPr="00667D50" w:rsidRDefault="00137E10" w:rsidP="00137E10">
      <w:pPr>
        <w:pStyle w:val="a5"/>
        <w:widowControl w:val="0"/>
        <w:numPr>
          <w:ilvl w:val="0"/>
          <w:numId w:val="5"/>
        </w:numPr>
        <w:shd w:val="clear" w:color="auto" w:fill="FFFFFF"/>
        <w:spacing w:before="0" w:beforeAutospacing="0" w:after="0" w:afterAutospacing="0" w:line="560" w:lineRule="exact"/>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lastRenderedPageBreak/>
        <w:t>机构基本情况；</w:t>
      </w:r>
    </w:p>
    <w:p w:rsidR="00137E10" w:rsidRPr="00667D50" w:rsidRDefault="00137E10" w:rsidP="00137E10">
      <w:pPr>
        <w:pStyle w:val="a5"/>
        <w:widowControl w:val="0"/>
        <w:numPr>
          <w:ilvl w:val="0"/>
          <w:numId w:val="5"/>
        </w:numPr>
        <w:shd w:val="clear" w:color="auto" w:fill="FFFFFF"/>
        <w:spacing w:before="0" w:beforeAutospacing="0" w:after="0" w:afterAutospacing="0" w:line="560" w:lineRule="exact"/>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注册资本、净资产或者管理资产情况；</w:t>
      </w:r>
    </w:p>
    <w:p w:rsidR="00137E10" w:rsidRPr="00667D50" w:rsidRDefault="00137E10" w:rsidP="00137E10">
      <w:pPr>
        <w:pStyle w:val="a5"/>
        <w:widowControl w:val="0"/>
        <w:numPr>
          <w:ilvl w:val="0"/>
          <w:numId w:val="5"/>
        </w:numPr>
        <w:shd w:val="clear" w:color="auto" w:fill="FFFFFF"/>
        <w:spacing w:before="0" w:beforeAutospacing="0" w:after="0" w:afterAutospacing="0" w:line="560" w:lineRule="exact"/>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债券交易业务管理制度及风险控制制度；</w:t>
      </w:r>
    </w:p>
    <w:p w:rsidR="00137E10" w:rsidRPr="00667D50" w:rsidRDefault="00137E10" w:rsidP="00137E10">
      <w:pPr>
        <w:pStyle w:val="a5"/>
        <w:widowControl w:val="0"/>
        <w:numPr>
          <w:ilvl w:val="0"/>
          <w:numId w:val="5"/>
        </w:numPr>
        <w:shd w:val="clear" w:color="auto" w:fill="FFFFFF"/>
        <w:spacing w:before="0" w:beforeAutospacing="0" w:after="0" w:afterAutospacing="0" w:line="560" w:lineRule="exact"/>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债券交易部门设置及业务人员配备情况；</w:t>
      </w:r>
    </w:p>
    <w:p w:rsidR="00137E10" w:rsidRPr="00667D50" w:rsidRDefault="00137E10" w:rsidP="00137E10">
      <w:pPr>
        <w:pStyle w:val="a5"/>
        <w:widowControl w:val="0"/>
        <w:numPr>
          <w:ilvl w:val="0"/>
          <w:numId w:val="5"/>
        </w:numPr>
        <w:shd w:val="clear" w:color="auto" w:fill="FFFFFF"/>
        <w:spacing w:before="0" w:beforeAutospacing="0" w:after="0" w:afterAutospacing="0" w:line="560" w:lineRule="exact"/>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债券交易相关技术系统建设情况；</w:t>
      </w:r>
    </w:p>
    <w:p w:rsidR="00137E10" w:rsidRPr="00667D50" w:rsidRDefault="00137E10" w:rsidP="00137E10">
      <w:pPr>
        <w:pStyle w:val="a5"/>
        <w:widowControl w:val="0"/>
        <w:numPr>
          <w:ilvl w:val="0"/>
          <w:numId w:val="5"/>
        </w:numPr>
        <w:shd w:val="clear" w:color="auto" w:fill="FFFFFF"/>
        <w:spacing w:before="0" w:beforeAutospacing="0" w:after="0" w:afterAutospacing="0" w:line="560" w:lineRule="exact"/>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近2年债券投资交易情况；</w:t>
      </w:r>
    </w:p>
    <w:p w:rsidR="00137E10" w:rsidRPr="00667D50" w:rsidRDefault="00137E10" w:rsidP="00137E10">
      <w:pPr>
        <w:pStyle w:val="a5"/>
        <w:widowControl w:val="0"/>
        <w:numPr>
          <w:ilvl w:val="0"/>
          <w:numId w:val="5"/>
        </w:numPr>
        <w:shd w:val="clear" w:color="auto" w:fill="FFFFFF"/>
        <w:spacing w:before="0" w:beforeAutospacing="0" w:after="0" w:afterAutospacing="0" w:line="560" w:lineRule="exact"/>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本所要求说明的其他情况。</w:t>
      </w:r>
    </w:p>
    <w:p w:rsidR="00137E10" w:rsidRPr="00667D50" w:rsidRDefault="00137E10" w:rsidP="00137E10">
      <w:pPr>
        <w:pStyle w:val="a5"/>
        <w:widowControl w:val="0"/>
        <w:shd w:val="clear" w:color="auto" w:fill="FFFFFF"/>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申请人符合本规则第七条规定条件的，本所自申请文件齐备之日起</w:t>
      </w:r>
      <w:r w:rsidRPr="00667D50">
        <w:rPr>
          <w:rFonts w:ascii="仿宋_GB2312" w:eastAsia="仿宋_GB2312" w:hAnsi="Times New Roman"/>
          <w:color w:val="000000"/>
          <w:sz w:val="30"/>
          <w:szCs w:val="30"/>
        </w:rPr>
        <w:t>10</w:t>
      </w:r>
      <w:r w:rsidRPr="00667D50">
        <w:rPr>
          <w:rFonts w:ascii="仿宋_GB2312" w:eastAsia="仿宋_GB2312" w:hAnsi="Times New Roman" w:hint="eastAsia"/>
          <w:color w:val="000000"/>
          <w:sz w:val="30"/>
          <w:szCs w:val="30"/>
        </w:rPr>
        <w:t>个交易日以内接受其成为债券交易参与人，并与其建立系统连接、为其开通债券交易权限。</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w:cs="Times New Roman"/>
          <w:color w:val="000000"/>
          <w:sz w:val="30"/>
          <w:szCs w:val="30"/>
        </w:rPr>
      </w:pPr>
      <w:r w:rsidRPr="00667D50">
        <w:rPr>
          <w:rFonts w:ascii="仿宋_GB2312" w:eastAsia="仿宋_GB2312" w:hAnsi="Times" w:cs="Times New Roman" w:hint="eastAsia"/>
          <w:color w:val="000000"/>
          <w:sz w:val="30"/>
          <w:szCs w:val="30"/>
        </w:rPr>
        <w:t>债券交易参与人可以向本所申请终止作为债券交易参与人。债券交易参与人不再符合本所规定条件或者存在本所规定的其他终止情形的，本所可以终止其作为债券交易参与人。</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债券交易参与人可以按照相关规定提供寻找交易对手、促进达成交易等服务。</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债券交易参与人开展债券交易业务,应当建立健全交易决策、执行、清算交收、财务核算、合规审查等内部控制制度，完善业务流程与技术手段，加强债券交易业务内部管理。</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债券交易参与人应当将其债券自营业务、做市业务、资产管理业务和投资顾问业务等各类债券交易业务分开办理，防范不同业务之间的利益冲突。</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债券交易参与人应当加强对债券交易信用风险、市场风险以及流动性风险等风险的监测和管理。</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债券交易参与人应当按照相关规定建立完善的债</w:t>
      </w:r>
      <w:r w:rsidRPr="00667D50">
        <w:rPr>
          <w:rFonts w:ascii="仿宋_GB2312" w:eastAsia="仿宋_GB2312" w:hAnsi="Times New Roman" w:hint="eastAsia"/>
          <w:color w:val="000000"/>
          <w:sz w:val="30"/>
          <w:szCs w:val="30"/>
        </w:rPr>
        <w:lastRenderedPageBreak/>
        <w:t>券交易相关技术系统，制定相应的运行管理制度，按照相关要求开展技术系统升级、测试，保障系统安全稳定运行。</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通过计算机程序自动生成或者下达交易指令进行程序化交易的，应当符合相关规定，不得影响本所系统安全或者正常交易秩序，并按照相关规定向本所报告。</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债券交易参与人应当设置债券交易业务联络人，负责组织、协调和联系债券交易参与人在本所开展的各项债券交易业务。</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债券交易参与人应当建立债券交易业务授权管理制度，加强债券交易人员管理。</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债券交易参与人应当认可其交易人员开展的债券交易及其结果，并承担由此产生的责任。</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债券交易参与人及其相关人员不得从事下列行为：</w:t>
      </w:r>
    </w:p>
    <w:p w:rsidR="00137E10" w:rsidRPr="00667D50" w:rsidRDefault="00137E10" w:rsidP="00137E10">
      <w:pPr>
        <w:pStyle w:val="a5"/>
        <w:widowControl w:val="0"/>
        <w:numPr>
          <w:ilvl w:val="0"/>
          <w:numId w:val="6"/>
        </w:numPr>
        <w:shd w:val="clear" w:color="auto" w:fill="FFFFFF"/>
        <w:adjustRightInd w:val="0"/>
        <w:snapToGrid w:val="0"/>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内幕交易；</w:t>
      </w:r>
    </w:p>
    <w:p w:rsidR="00137E10" w:rsidRPr="00667D50" w:rsidRDefault="00137E10" w:rsidP="00137E10">
      <w:pPr>
        <w:pStyle w:val="a5"/>
        <w:widowControl w:val="0"/>
        <w:numPr>
          <w:ilvl w:val="0"/>
          <w:numId w:val="6"/>
        </w:numPr>
        <w:shd w:val="clear" w:color="auto" w:fill="FFFFFF"/>
        <w:adjustRightInd w:val="0"/>
        <w:snapToGrid w:val="0"/>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违反规定利用内幕信息以外的其他未公开信息开展相关债券交易；</w:t>
      </w:r>
    </w:p>
    <w:p w:rsidR="00137E10" w:rsidRPr="00667D50" w:rsidRDefault="00137E10" w:rsidP="00137E10">
      <w:pPr>
        <w:pStyle w:val="a5"/>
        <w:widowControl w:val="0"/>
        <w:numPr>
          <w:ilvl w:val="0"/>
          <w:numId w:val="6"/>
        </w:numPr>
        <w:shd w:val="clear" w:color="auto" w:fill="FFFFFF"/>
        <w:adjustRightInd w:val="0"/>
        <w:snapToGrid w:val="0"/>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操纵市场；</w:t>
      </w:r>
    </w:p>
    <w:p w:rsidR="00137E10" w:rsidRPr="00667D50" w:rsidRDefault="00137E10" w:rsidP="00137E10">
      <w:pPr>
        <w:pStyle w:val="a5"/>
        <w:widowControl w:val="0"/>
        <w:numPr>
          <w:ilvl w:val="0"/>
          <w:numId w:val="6"/>
        </w:numPr>
        <w:shd w:val="clear" w:color="auto" w:fill="FFFFFF"/>
        <w:adjustRightInd w:val="0"/>
        <w:snapToGrid w:val="0"/>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利用职务便利侵占债券交易收益；</w:t>
      </w:r>
    </w:p>
    <w:p w:rsidR="00137E10" w:rsidRPr="00667D50" w:rsidRDefault="00137E10" w:rsidP="00137E10">
      <w:pPr>
        <w:pStyle w:val="a5"/>
        <w:widowControl w:val="0"/>
        <w:numPr>
          <w:ilvl w:val="0"/>
          <w:numId w:val="6"/>
        </w:numPr>
        <w:shd w:val="clear" w:color="auto" w:fill="FFFFFF"/>
        <w:adjustRightInd w:val="0"/>
        <w:snapToGrid w:val="0"/>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编造、传播虚假信息或者误导性信息，扰乱债券市场；</w:t>
      </w:r>
    </w:p>
    <w:p w:rsidR="00137E10" w:rsidRPr="00667D50" w:rsidRDefault="00137E10" w:rsidP="00137E10">
      <w:pPr>
        <w:pStyle w:val="a5"/>
        <w:widowControl w:val="0"/>
        <w:numPr>
          <w:ilvl w:val="0"/>
          <w:numId w:val="6"/>
        </w:numPr>
        <w:shd w:val="clear" w:color="auto" w:fill="FFFFFF"/>
        <w:adjustRightInd w:val="0"/>
        <w:snapToGrid w:val="0"/>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扰乱债券市场秩序、损害社会公共利益的其他行为。</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债券交易参与人应当根据本所相关规定向本所报送债券投资交易的数据并提交业务运行情况的报告。</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债券交易参与人债券交易、技术系统运行出现异常情况的，</w:t>
      </w:r>
      <w:r w:rsidRPr="00667D50">
        <w:rPr>
          <w:rFonts w:ascii="仿宋_GB2312" w:eastAsia="仿宋_GB2312" w:hAnsi="Times New Roman" w:hint="eastAsia"/>
          <w:color w:val="000000"/>
          <w:sz w:val="30"/>
          <w:szCs w:val="30"/>
        </w:rPr>
        <w:lastRenderedPageBreak/>
        <w:t>应当及时向本所报告。</w:t>
      </w:r>
    </w:p>
    <w:p w:rsidR="00137E10" w:rsidRPr="00667D50" w:rsidRDefault="00137E10" w:rsidP="00137E10">
      <w:pPr>
        <w:pStyle w:val="2"/>
        <w:keepNext w:val="0"/>
        <w:keepLines w:val="0"/>
        <w:numPr>
          <w:ilvl w:val="0"/>
          <w:numId w:val="3"/>
        </w:numPr>
        <w:spacing w:before="0" w:after="0" w:line="560" w:lineRule="exact"/>
        <w:jc w:val="center"/>
        <w:rPr>
          <w:rFonts w:ascii="仿宋_GB2312" w:eastAsia="仿宋_GB2312" w:hAnsi="Times New Roman"/>
          <w:color w:val="000000"/>
          <w:sz w:val="30"/>
          <w:szCs w:val="30"/>
        </w:rPr>
      </w:pPr>
      <w:bookmarkStart w:id="6" w:name="_Toc22662833"/>
      <w:bookmarkStart w:id="7" w:name="_Toc22573007"/>
      <w:bookmarkStart w:id="8" w:name="_Toc22573179"/>
      <w:bookmarkStart w:id="9" w:name="_Toc22572922"/>
      <w:bookmarkStart w:id="10" w:name="_Toc18595382"/>
      <w:bookmarkStart w:id="11" w:name="_Toc22573178"/>
      <w:bookmarkStart w:id="12" w:name="_Toc22573006"/>
      <w:bookmarkStart w:id="13" w:name="_Toc22572923"/>
      <w:bookmarkStart w:id="14" w:name="_Toc22662832"/>
      <w:bookmarkStart w:id="15" w:name="_Toc27643082"/>
      <w:bookmarkEnd w:id="6"/>
      <w:bookmarkEnd w:id="7"/>
      <w:bookmarkEnd w:id="8"/>
      <w:bookmarkEnd w:id="9"/>
      <w:bookmarkEnd w:id="10"/>
      <w:bookmarkEnd w:id="11"/>
      <w:bookmarkEnd w:id="12"/>
      <w:bookmarkEnd w:id="13"/>
      <w:bookmarkEnd w:id="14"/>
      <w:r w:rsidRPr="00667D50">
        <w:rPr>
          <w:rFonts w:ascii="仿宋_GB2312" w:eastAsia="仿宋_GB2312" w:hAnsi="Times New Roman" w:hint="eastAsia"/>
          <w:color w:val="000000"/>
          <w:sz w:val="30"/>
          <w:szCs w:val="30"/>
        </w:rPr>
        <w:t>债券做市商</w:t>
      </w:r>
      <w:bookmarkEnd w:id="15"/>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债券做市商是指按照规定为债券交易开展做市业务的债券交易参与人，分为主做市商和一般做市商。</w:t>
      </w:r>
    </w:p>
    <w:p w:rsidR="00137E10" w:rsidRPr="00667D50" w:rsidRDefault="00137E10" w:rsidP="00137E10">
      <w:pPr>
        <w:spacing w:line="560" w:lineRule="exact"/>
        <w:ind w:firstLineChars="200" w:firstLine="600"/>
        <w:rPr>
          <w:rFonts w:ascii="仿宋_GB2312"/>
          <w:color w:val="000000"/>
          <w:sz w:val="30"/>
        </w:rPr>
      </w:pPr>
      <w:r w:rsidRPr="00667D50">
        <w:rPr>
          <w:rFonts w:ascii="仿宋_GB2312" w:eastAsia="仿宋_GB2312" w:hAnsi="Times New Roman" w:hint="eastAsia"/>
          <w:sz w:val="30"/>
          <w:szCs w:val="30"/>
        </w:rPr>
        <w:t>主做市商对基准做市品种开展持续做市业务（以下简称基准做市业务）。基准做市品种由本所另行公布。一般做市商对其自行选定的</w:t>
      </w:r>
      <w:r w:rsidRPr="00667D50">
        <w:rPr>
          <w:rFonts w:ascii="仿宋_GB2312" w:eastAsia="仿宋_GB2312" w:hint="eastAsia"/>
          <w:sz w:val="30"/>
          <w:szCs w:val="30"/>
        </w:rPr>
        <w:t>债券</w:t>
      </w:r>
      <w:r w:rsidRPr="00667D50">
        <w:rPr>
          <w:rFonts w:ascii="仿宋_GB2312" w:eastAsia="仿宋_GB2312" w:hAnsi="Times New Roman" w:hint="eastAsia"/>
          <w:sz w:val="30"/>
          <w:szCs w:val="30"/>
        </w:rPr>
        <w:t>品种</w:t>
      </w:r>
      <w:r w:rsidRPr="00667D50">
        <w:rPr>
          <w:rFonts w:ascii="仿宋_GB2312" w:eastAsia="仿宋_GB2312" w:hint="eastAsia"/>
          <w:sz w:val="30"/>
          <w:szCs w:val="30"/>
        </w:rPr>
        <w:t>（以下简称自选做市品种）</w:t>
      </w:r>
      <w:r w:rsidRPr="00667D50">
        <w:rPr>
          <w:rFonts w:ascii="仿宋_GB2312" w:eastAsia="仿宋_GB2312" w:hAnsi="Times New Roman" w:hint="eastAsia"/>
          <w:sz w:val="30"/>
          <w:szCs w:val="30"/>
        </w:rPr>
        <w:t>在一定时期内面向全市场或者部分债券投资者开展做市业务（以下简称一般做市业务）。</w:t>
      </w:r>
      <w:r w:rsidRPr="00667D50">
        <w:rPr>
          <w:rFonts w:ascii="仿宋_GB2312" w:eastAsia="仿宋_GB2312" w:hint="eastAsia"/>
          <w:color w:val="000000"/>
          <w:sz w:val="30"/>
          <w:szCs w:val="30"/>
        </w:rPr>
        <w:t>主做市商可以</w:t>
      </w:r>
      <w:r w:rsidRPr="00667D50">
        <w:rPr>
          <w:rFonts w:ascii="仿宋_GB2312" w:eastAsia="仿宋_GB2312" w:hint="eastAsia"/>
          <w:sz w:val="30"/>
          <w:szCs w:val="30"/>
        </w:rPr>
        <w:t>参照本所对一般做市业务的要求对自选做市品种开展做市业务</w:t>
      </w:r>
      <w:r w:rsidRPr="00667D50">
        <w:rPr>
          <w:rFonts w:ascii="仿宋_GB2312" w:eastAsia="仿宋_GB2312" w:hint="eastAsia"/>
          <w:color w:val="000000"/>
          <w:sz w:val="30"/>
          <w:szCs w:val="30"/>
        </w:rPr>
        <w:t>。</w:t>
      </w:r>
      <w:r w:rsidRPr="00667D50">
        <w:rPr>
          <w:rFonts w:ascii="仿宋_GB2312" w:eastAsia="仿宋_GB2312" w:hAnsi="Times New Roman" w:hint="eastAsia"/>
          <w:sz w:val="30"/>
          <w:szCs w:val="30"/>
        </w:rPr>
        <w:t>本所鼓励债券承销商对其承销</w:t>
      </w:r>
      <w:r w:rsidRPr="00667D50">
        <w:rPr>
          <w:rFonts w:ascii="仿宋_GB2312" w:eastAsia="仿宋_GB2312" w:hAnsi="Times New Roman" w:hint="eastAsia"/>
          <w:color w:val="000000"/>
          <w:sz w:val="30"/>
          <w:szCs w:val="30"/>
        </w:rPr>
        <w:t>的债券开展</w:t>
      </w:r>
      <w:r w:rsidRPr="00667D50">
        <w:rPr>
          <w:rFonts w:ascii="仿宋_GB2312" w:eastAsia="仿宋_GB2312" w:hAnsi="Times New Roman" w:hint="eastAsia"/>
          <w:sz w:val="30"/>
          <w:szCs w:val="30"/>
        </w:rPr>
        <w:t>做市业务。</w:t>
      </w:r>
    </w:p>
    <w:p w:rsidR="00137E10" w:rsidRPr="00667D50" w:rsidRDefault="00137E10" w:rsidP="00137E10">
      <w:pPr>
        <w:spacing w:line="560" w:lineRule="exact"/>
        <w:ind w:firstLineChars="200" w:firstLine="600"/>
        <w:rPr>
          <w:rFonts w:ascii="仿宋_GB2312" w:eastAsia="仿宋_GB2312" w:hAnsi="Times New Roman"/>
          <w:sz w:val="30"/>
          <w:szCs w:val="30"/>
        </w:rPr>
      </w:pPr>
      <w:r w:rsidRPr="00667D50">
        <w:rPr>
          <w:rFonts w:ascii="仿宋_GB2312" w:eastAsia="仿宋_GB2312" w:hAnsi="Times New Roman" w:hint="eastAsia"/>
          <w:sz w:val="30"/>
          <w:szCs w:val="30"/>
        </w:rPr>
        <w:t>证券公司</w:t>
      </w:r>
      <w:r w:rsidRPr="00667D50">
        <w:rPr>
          <w:rFonts w:ascii="仿宋_GB2312" w:eastAsia="仿宋_GB2312" w:hAnsi="Times New Roman" w:hint="eastAsia"/>
          <w:color w:val="000000"/>
          <w:sz w:val="30"/>
          <w:szCs w:val="30"/>
        </w:rPr>
        <w:t>为债券交易开展做市业务</w:t>
      </w:r>
      <w:r w:rsidRPr="00667D50">
        <w:rPr>
          <w:rFonts w:ascii="仿宋_GB2312" w:eastAsia="仿宋_GB2312" w:hAnsi="Times New Roman" w:hint="eastAsia"/>
          <w:sz w:val="30"/>
          <w:szCs w:val="30"/>
        </w:rPr>
        <w:t>的，应当依据</w:t>
      </w:r>
      <w:r w:rsidRPr="00667D50">
        <w:rPr>
          <w:rFonts w:ascii="仿宋_GB2312" w:eastAsia="仿宋_GB2312" w:hAnsi="Times New Roman" w:hint="eastAsia"/>
          <w:color w:val="000000"/>
          <w:sz w:val="30"/>
          <w:szCs w:val="30"/>
        </w:rPr>
        <w:t>相关法律法规</w:t>
      </w:r>
      <w:r w:rsidRPr="00667D50">
        <w:rPr>
          <w:rFonts w:ascii="仿宋_GB2312" w:eastAsia="仿宋_GB2312" w:hAnsi="Times New Roman" w:hint="eastAsia"/>
          <w:sz w:val="30"/>
          <w:szCs w:val="30"/>
        </w:rPr>
        <w:t>取得相应的经营证券业务许可。</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债券做市可以采用以下方式：</w:t>
      </w:r>
    </w:p>
    <w:p w:rsidR="00137E10" w:rsidRPr="00667D50" w:rsidRDefault="00137E10" w:rsidP="00137E10">
      <w:pPr>
        <w:pStyle w:val="a5"/>
        <w:widowControl w:val="0"/>
        <w:numPr>
          <w:ilvl w:val="0"/>
          <w:numId w:val="7"/>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持续提供双边买卖报价；</w:t>
      </w:r>
    </w:p>
    <w:p w:rsidR="00137E10" w:rsidRPr="00667D50" w:rsidRDefault="00137E10" w:rsidP="00137E10">
      <w:pPr>
        <w:pStyle w:val="a5"/>
        <w:widowControl w:val="0"/>
        <w:numPr>
          <w:ilvl w:val="0"/>
          <w:numId w:val="7"/>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对债券投资者的询价请求进行回复；</w:t>
      </w:r>
    </w:p>
    <w:p w:rsidR="00137E10" w:rsidRPr="00667D50" w:rsidRDefault="00137E10" w:rsidP="00137E10">
      <w:pPr>
        <w:pStyle w:val="a5"/>
        <w:widowControl w:val="0"/>
        <w:numPr>
          <w:ilvl w:val="0"/>
          <w:numId w:val="7"/>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本所认可的其他债券做市方式。</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符合下列条件的债券交易参与人可以成为主做市商：</w:t>
      </w:r>
    </w:p>
    <w:p w:rsidR="00137E10" w:rsidRPr="00667D50" w:rsidRDefault="00137E10" w:rsidP="00137E10">
      <w:pPr>
        <w:pStyle w:val="a5"/>
        <w:widowControl w:val="0"/>
        <w:numPr>
          <w:ilvl w:val="0"/>
          <w:numId w:val="8"/>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市场交易活跃，近2年债券交易量排名靠前；</w:t>
      </w:r>
    </w:p>
    <w:p w:rsidR="00137E10" w:rsidRPr="00667D50" w:rsidRDefault="00137E10" w:rsidP="00137E10">
      <w:pPr>
        <w:pStyle w:val="a5"/>
        <w:widowControl w:val="0"/>
        <w:numPr>
          <w:ilvl w:val="0"/>
          <w:numId w:val="8"/>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具有专业的做市团队和较强的做市能力；</w:t>
      </w:r>
    </w:p>
    <w:p w:rsidR="00137E10" w:rsidRPr="00667D50" w:rsidRDefault="00137E10" w:rsidP="00137E10">
      <w:pPr>
        <w:pStyle w:val="a5"/>
        <w:widowControl w:val="0"/>
        <w:numPr>
          <w:ilvl w:val="0"/>
          <w:numId w:val="8"/>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本所规定的其他条件。</w:t>
      </w:r>
    </w:p>
    <w:p w:rsidR="00137E10" w:rsidRPr="00667D50" w:rsidRDefault="00137E10" w:rsidP="00137E10">
      <w:pPr>
        <w:pStyle w:val="a5"/>
        <w:widowControl w:val="0"/>
        <w:numPr>
          <w:ilvl w:val="1"/>
          <w:numId w:val="2"/>
        </w:numPr>
        <w:shd w:val="clear" w:color="auto" w:fill="FFFFFF"/>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拟开展基准做市业务的债券交易参与人应当向本所提交做市方案。做市方案中应当包含以下内容：</w:t>
      </w:r>
    </w:p>
    <w:p w:rsidR="00137E10" w:rsidRPr="00667D50" w:rsidRDefault="00137E10" w:rsidP="00137E10">
      <w:pPr>
        <w:pStyle w:val="a6"/>
        <w:numPr>
          <w:ilvl w:val="0"/>
          <w:numId w:val="9"/>
        </w:numPr>
        <w:ind w:firstLine="600"/>
        <w:rPr>
          <w:rFonts w:hAnsi="Times New Roman"/>
          <w:sz w:val="30"/>
          <w:szCs w:val="30"/>
        </w:rPr>
      </w:pPr>
      <w:r w:rsidRPr="00667D50">
        <w:rPr>
          <w:rFonts w:hAnsi="Times New Roman" w:hint="eastAsia"/>
          <w:sz w:val="30"/>
          <w:szCs w:val="30"/>
        </w:rPr>
        <w:lastRenderedPageBreak/>
        <w:t>机构基本情况；</w:t>
      </w:r>
    </w:p>
    <w:p w:rsidR="00137E10" w:rsidRPr="00667D50" w:rsidRDefault="00137E10" w:rsidP="00137E10">
      <w:pPr>
        <w:pStyle w:val="a6"/>
        <w:numPr>
          <w:ilvl w:val="0"/>
          <w:numId w:val="9"/>
        </w:numPr>
        <w:ind w:firstLine="600"/>
        <w:rPr>
          <w:rFonts w:hAnsi="Times New Roman"/>
          <w:sz w:val="30"/>
          <w:szCs w:val="30"/>
        </w:rPr>
      </w:pPr>
      <w:r w:rsidRPr="00667D50">
        <w:rPr>
          <w:rFonts w:hAnsi="Times New Roman" w:hint="eastAsia"/>
          <w:sz w:val="30"/>
          <w:szCs w:val="30"/>
        </w:rPr>
        <w:t>近2年债券投资交易情况；</w:t>
      </w:r>
    </w:p>
    <w:p w:rsidR="00137E10" w:rsidRPr="00667D50" w:rsidRDefault="00137E10" w:rsidP="00137E10">
      <w:pPr>
        <w:pStyle w:val="a6"/>
        <w:numPr>
          <w:ilvl w:val="0"/>
          <w:numId w:val="9"/>
        </w:numPr>
        <w:ind w:firstLine="600"/>
        <w:rPr>
          <w:rFonts w:hAnsi="Times New Roman"/>
          <w:sz w:val="30"/>
          <w:szCs w:val="30"/>
        </w:rPr>
      </w:pPr>
      <w:r w:rsidRPr="00667D50">
        <w:rPr>
          <w:rFonts w:hAnsi="Times New Roman" w:cs="宋体" w:hint="eastAsia"/>
          <w:sz w:val="30"/>
          <w:szCs w:val="30"/>
        </w:rPr>
        <w:t>做市相关部门设置及业务人员配备情况；</w:t>
      </w:r>
    </w:p>
    <w:p w:rsidR="00137E10" w:rsidRPr="00667D50" w:rsidRDefault="00137E10" w:rsidP="00137E10">
      <w:pPr>
        <w:pStyle w:val="a6"/>
        <w:numPr>
          <w:ilvl w:val="0"/>
          <w:numId w:val="9"/>
        </w:numPr>
        <w:ind w:firstLine="600"/>
        <w:rPr>
          <w:rFonts w:hAnsi="Times New Roman"/>
          <w:sz w:val="30"/>
          <w:szCs w:val="30"/>
        </w:rPr>
      </w:pPr>
      <w:r w:rsidRPr="00667D50">
        <w:rPr>
          <w:rFonts w:hAnsi="Times New Roman" w:cs="宋体" w:hint="eastAsia"/>
          <w:sz w:val="30"/>
          <w:szCs w:val="30"/>
        </w:rPr>
        <w:t>拟做市品种、做市证券账户安排；</w:t>
      </w:r>
    </w:p>
    <w:p w:rsidR="00137E10" w:rsidRPr="00667D50" w:rsidRDefault="00137E10" w:rsidP="00137E10">
      <w:pPr>
        <w:pStyle w:val="a6"/>
        <w:numPr>
          <w:ilvl w:val="0"/>
          <w:numId w:val="9"/>
        </w:numPr>
        <w:ind w:firstLine="600"/>
        <w:rPr>
          <w:rFonts w:hAnsi="Times New Roman"/>
          <w:sz w:val="30"/>
          <w:szCs w:val="30"/>
        </w:rPr>
      </w:pPr>
      <w:r w:rsidRPr="00667D50">
        <w:rPr>
          <w:rFonts w:hAnsi="Times New Roman" w:cs="宋体" w:hint="eastAsia"/>
          <w:sz w:val="30"/>
          <w:szCs w:val="30"/>
        </w:rPr>
        <w:t>做市相关风险控制安排；</w:t>
      </w:r>
    </w:p>
    <w:p w:rsidR="00137E10" w:rsidRPr="00667D50" w:rsidRDefault="00137E10" w:rsidP="00137E10">
      <w:pPr>
        <w:pStyle w:val="a6"/>
        <w:numPr>
          <w:ilvl w:val="0"/>
          <w:numId w:val="9"/>
        </w:numPr>
        <w:ind w:firstLine="600"/>
        <w:rPr>
          <w:rFonts w:hAnsi="Times New Roman"/>
          <w:sz w:val="30"/>
          <w:szCs w:val="30"/>
        </w:rPr>
      </w:pPr>
      <w:r w:rsidRPr="00667D50">
        <w:rPr>
          <w:rFonts w:hAnsi="Times New Roman" w:hint="eastAsia"/>
          <w:sz w:val="30"/>
          <w:szCs w:val="30"/>
        </w:rPr>
        <w:t>本所要求说明的其他情况。</w:t>
      </w:r>
    </w:p>
    <w:p w:rsidR="00137E10" w:rsidRPr="00667D50" w:rsidRDefault="00137E10" w:rsidP="00137E10">
      <w:pPr>
        <w:spacing w:line="560" w:lineRule="exact"/>
        <w:ind w:firstLineChars="200" w:firstLine="600"/>
        <w:rPr>
          <w:color w:val="000000"/>
          <w:sz w:val="30"/>
          <w:szCs w:val="30"/>
        </w:rPr>
      </w:pPr>
      <w:r w:rsidRPr="00667D50">
        <w:rPr>
          <w:rFonts w:ascii="仿宋_GB2312" w:eastAsia="仿宋_GB2312" w:hint="eastAsia"/>
          <w:color w:val="000000"/>
          <w:sz w:val="30"/>
          <w:szCs w:val="30"/>
        </w:rPr>
        <w:t>本所对</w:t>
      </w:r>
      <w:r w:rsidRPr="00667D50">
        <w:rPr>
          <w:rFonts w:ascii="仿宋_GB2312" w:eastAsia="仿宋_GB2312" w:hAnsi="Times New Roman" w:hint="eastAsia"/>
          <w:color w:val="000000"/>
          <w:sz w:val="30"/>
          <w:szCs w:val="30"/>
        </w:rPr>
        <w:t>做市方案</w:t>
      </w:r>
      <w:r w:rsidRPr="00667D50">
        <w:rPr>
          <w:rFonts w:ascii="仿宋_GB2312" w:eastAsia="仿宋_GB2312" w:hint="eastAsia"/>
          <w:color w:val="000000"/>
          <w:sz w:val="30"/>
          <w:szCs w:val="30"/>
        </w:rPr>
        <w:t>进行评估，并向市场公告主做市商及其做市品种等信息。</w:t>
      </w:r>
    </w:p>
    <w:p w:rsidR="00137E10" w:rsidRPr="00667D50" w:rsidRDefault="00137E10" w:rsidP="00137E10">
      <w:pPr>
        <w:pStyle w:val="a5"/>
        <w:widowControl w:val="0"/>
        <w:numPr>
          <w:ilvl w:val="1"/>
          <w:numId w:val="2"/>
        </w:numPr>
        <w:shd w:val="clear" w:color="auto" w:fill="FFFFFF"/>
        <w:spacing w:before="0" w:beforeAutospacing="0" w:after="0" w:afterAutospacing="0" w:line="560" w:lineRule="exact"/>
        <w:ind w:firstLineChars="200" w:firstLine="600"/>
        <w:jc w:val="both"/>
        <w:rPr>
          <w:rFonts w:ascii="仿宋_GB2312" w:hAnsi="Times New Roman"/>
          <w:sz w:val="30"/>
        </w:rPr>
      </w:pPr>
      <w:r w:rsidRPr="00667D50">
        <w:rPr>
          <w:rFonts w:ascii="仿宋_GB2312" w:eastAsia="仿宋_GB2312" w:hAnsi="Times New Roman" w:hint="eastAsia"/>
          <w:color w:val="000000"/>
          <w:sz w:val="30"/>
          <w:szCs w:val="30"/>
        </w:rPr>
        <w:t>拟开展一般做市业务的债券交易参与人，</w:t>
      </w:r>
      <w:r w:rsidRPr="00667D50">
        <w:rPr>
          <w:rFonts w:ascii="仿宋_GB2312" w:eastAsia="仿宋_GB2312" w:hAnsi="Times New Roman" w:hint="eastAsia"/>
          <w:sz w:val="30"/>
          <w:szCs w:val="30"/>
        </w:rPr>
        <w:t>应当提前向本所报告拟做市的债券品种与做</w:t>
      </w:r>
      <w:r w:rsidRPr="00667D50">
        <w:rPr>
          <w:rFonts w:ascii="仿宋_GB2312" w:eastAsia="仿宋_GB2312" w:hAnsi="Times New Roman" w:hint="eastAsia"/>
          <w:color w:val="000000"/>
          <w:sz w:val="30"/>
          <w:szCs w:val="30"/>
        </w:rPr>
        <w:t>市证券账</w:t>
      </w:r>
      <w:r w:rsidRPr="00667D50">
        <w:rPr>
          <w:rFonts w:ascii="仿宋_GB2312" w:eastAsia="仿宋_GB2312" w:hAnsi="Times New Roman" w:hint="eastAsia"/>
          <w:sz w:val="30"/>
          <w:szCs w:val="30"/>
        </w:rPr>
        <w:t>户安排等信息。</w:t>
      </w:r>
    </w:p>
    <w:p w:rsidR="00137E10" w:rsidRPr="00667D50" w:rsidRDefault="00137E10" w:rsidP="00137E10">
      <w:pPr>
        <w:pStyle w:val="a5"/>
        <w:widowControl w:val="0"/>
        <w:shd w:val="clear" w:color="auto" w:fill="FFFFFF"/>
        <w:spacing w:before="0" w:beforeAutospacing="0" w:after="0" w:afterAutospacing="0" w:line="560" w:lineRule="exact"/>
        <w:ind w:left="600"/>
        <w:jc w:val="both"/>
        <w:rPr>
          <w:rFonts w:ascii="仿宋_GB2312" w:hAnsi="Times New Roman"/>
          <w:sz w:val="30"/>
        </w:rPr>
      </w:pPr>
      <w:r w:rsidRPr="00667D50">
        <w:rPr>
          <w:rFonts w:ascii="仿宋_GB2312" w:eastAsia="仿宋_GB2312" w:hAnsi="Times New Roman" w:hint="eastAsia"/>
          <w:sz w:val="30"/>
          <w:szCs w:val="30"/>
        </w:rPr>
        <w:t>本所及时向市场公告一般做市商及其做市品种等信息</w:t>
      </w:r>
      <w:r w:rsidRPr="00667D50">
        <w:rPr>
          <w:rFonts w:ascii="仿宋_GB2312" w:eastAsia="仿宋_GB2312" w:hAnsi="Times New Roman" w:hint="eastAsia"/>
          <w:color w:val="000000"/>
          <w:sz w:val="30"/>
          <w:szCs w:val="30"/>
        </w:rPr>
        <w:t>。</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出现下列第（一）项或者第（二）项情形的，债券做市商可以暂停对相应债券品种的做市；出现下列第（三）项或者第（四）项情形的，债券做市商可以暂停开展做市业务：</w:t>
      </w:r>
    </w:p>
    <w:p w:rsidR="00137E10" w:rsidRPr="00667D50" w:rsidRDefault="00137E10" w:rsidP="00137E10">
      <w:pPr>
        <w:pStyle w:val="a5"/>
        <w:widowControl w:val="0"/>
        <w:numPr>
          <w:ilvl w:val="0"/>
          <w:numId w:val="10"/>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做市品种被停牌的；</w:t>
      </w:r>
    </w:p>
    <w:p w:rsidR="00137E10" w:rsidRPr="00667D50" w:rsidRDefault="00137E10" w:rsidP="00137E10">
      <w:pPr>
        <w:pStyle w:val="a5"/>
        <w:widowControl w:val="0"/>
        <w:numPr>
          <w:ilvl w:val="0"/>
          <w:numId w:val="10"/>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做市品种的交易价格出现异常波动的；</w:t>
      </w:r>
    </w:p>
    <w:p w:rsidR="00137E10" w:rsidRPr="00667D50" w:rsidRDefault="00137E10" w:rsidP="00137E10">
      <w:pPr>
        <w:pStyle w:val="a5"/>
        <w:widowControl w:val="0"/>
        <w:numPr>
          <w:ilvl w:val="0"/>
          <w:numId w:val="10"/>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因不可抗力或者意外事件而无法正常开展做市业务的；</w:t>
      </w:r>
    </w:p>
    <w:p w:rsidR="00137E10" w:rsidRPr="00667D50" w:rsidRDefault="00137E10" w:rsidP="00137E10">
      <w:pPr>
        <w:pStyle w:val="a5"/>
        <w:widowControl w:val="0"/>
        <w:numPr>
          <w:ilvl w:val="0"/>
          <w:numId w:val="10"/>
        </w:numPr>
        <w:shd w:val="clear" w:color="auto" w:fill="FFFFFF"/>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本所认定的其他难以持续开展做市业务的情形。</w:t>
      </w:r>
    </w:p>
    <w:p w:rsidR="00137E10" w:rsidRPr="00667D50" w:rsidRDefault="00137E10" w:rsidP="00137E10">
      <w:pPr>
        <w:spacing w:line="560" w:lineRule="exact"/>
        <w:ind w:firstLineChars="200" w:firstLine="600"/>
        <w:rPr>
          <w:rFonts w:ascii="仿宋_GB2312" w:eastAsia="仿宋_GB2312" w:hAnsi="Times New Roman"/>
          <w:sz w:val="30"/>
          <w:szCs w:val="30"/>
        </w:rPr>
      </w:pPr>
      <w:r w:rsidRPr="00667D50">
        <w:rPr>
          <w:rFonts w:ascii="仿宋_GB2312" w:eastAsia="仿宋_GB2312" w:hAnsi="Times New Roman" w:hint="eastAsia"/>
          <w:sz w:val="30"/>
          <w:szCs w:val="30"/>
        </w:rPr>
        <w:t>上述情况消除后，做市商应当及时恢复</w:t>
      </w:r>
      <w:r w:rsidRPr="00667D50">
        <w:rPr>
          <w:rFonts w:ascii="仿宋_GB2312" w:eastAsia="仿宋_GB2312" w:hAnsi="Times New Roman" w:hint="eastAsia"/>
          <w:color w:val="000000"/>
          <w:sz w:val="30"/>
          <w:szCs w:val="30"/>
        </w:rPr>
        <w:t>做市</w:t>
      </w:r>
      <w:r w:rsidRPr="00667D50">
        <w:rPr>
          <w:rFonts w:ascii="仿宋_GB2312" w:eastAsia="仿宋_GB2312" w:hAnsi="Times New Roman" w:hint="eastAsia"/>
          <w:sz w:val="30"/>
          <w:szCs w:val="30"/>
        </w:rPr>
        <w:t>。</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债券做市商开展做市业务可以按照本所规定享有回购融资与债券业务创新、交易信息、债券交易费用减免等方面的支持。</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本所鼓励债券发行人通过债券续发行和其他方</w:t>
      </w:r>
      <w:r w:rsidRPr="00667D50">
        <w:rPr>
          <w:rFonts w:ascii="仿宋_GB2312" w:eastAsia="仿宋_GB2312" w:hAnsi="Times New Roman" w:hint="eastAsia"/>
          <w:color w:val="000000"/>
          <w:sz w:val="30"/>
          <w:szCs w:val="30"/>
        </w:rPr>
        <w:lastRenderedPageBreak/>
        <w:t>式为债券做市商提供做市支持。</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本所对债券做市商的做市情况进行定期评价，对债券做市商进行动态管理。</w:t>
      </w:r>
    </w:p>
    <w:p w:rsidR="00137E10" w:rsidRPr="00667D50" w:rsidRDefault="00137E10" w:rsidP="00137E10">
      <w:pPr>
        <w:pStyle w:val="2"/>
        <w:keepNext w:val="0"/>
        <w:keepLines w:val="0"/>
        <w:numPr>
          <w:ilvl w:val="0"/>
          <w:numId w:val="3"/>
        </w:numPr>
        <w:spacing w:before="0" w:after="0" w:line="560" w:lineRule="exact"/>
        <w:jc w:val="center"/>
        <w:rPr>
          <w:rFonts w:ascii="仿宋_GB2312" w:eastAsia="仿宋_GB2312" w:hAnsi="Times New Roman"/>
          <w:color w:val="000000"/>
          <w:sz w:val="30"/>
          <w:szCs w:val="30"/>
        </w:rPr>
      </w:pPr>
      <w:bookmarkStart w:id="16" w:name="_Toc18595384"/>
      <w:bookmarkStart w:id="17" w:name="_Toc27643083"/>
      <w:bookmarkEnd w:id="16"/>
      <w:r w:rsidRPr="00667D50">
        <w:rPr>
          <w:rFonts w:ascii="仿宋_GB2312" w:eastAsia="仿宋_GB2312" w:hAnsi="Times New Roman" w:hint="eastAsia"/>
          <w:color w:val="000000"/>
          <w:sz w:val="30"/>
          <w:szCs w:val="30"/>
        </w:rPr>
        <w:t>其他债券投资者</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债券交易参与人以外的债券投资者可以作为经纪客户委托本所会员参与本所债券交易。</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本所债券交易实行投资者适当性管理制度，经纪客户参与债券交易应当符合本所投资者适当性管理规定。</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会员接受经纪客户委托前，应当按照规定充分了解经纪客户的基本情况、财产状况、金融资产状况、投资知识和经验、专业能力等相关信息；如实说明相关债券交易品种性质、特征等，充分揭示投资风险，确保经纪客户符合相关投资者适当性管理规定。</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经纪客户应当按照会员明示的要求提供前款所列真实信息，拒绝提供或者未按照要求提供信息的，会员应当告知其后果，并按照规定拒绝接受委托。</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本所债券交易实行指定交易制度或者本所规定的其他委托交易制度。指定交易制度是指经纪客户应当事先指定一家本所会员作为其债券交易的受托人，通过该会员参与本所债券交易。</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经纪客户变更指定交易的，应当向已指定的会员提出撤销指定申请，由该会员申报撤销指令。对于符合撤销指定条件的，会员不得限制、阻挠或者拖延其办理撤销指定手续。</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指定交易撤销后即可重新申报办理指定交易。</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lastRenderedPageBreak/>
        <w:t>经纪客户应当与指定交易的会员签订指定交易协议，明确双方的权利、义务和责任。指定交易协议一经签订，会员即可根据经纪客户的申请向本所申报办理指定交易手续。</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经纪客户开展债券交易，应当与本所会员签订证券交易委托协议。</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会员应当在证券交易委托协议中与经纪客户明确双方权利与义务，并对经纪客户资料提供、账户交易权限管理、委托交易指令核查、异常交易行为处理、拒绝经纪客户委托以及委托关系解除等事项作出约定。</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机构经纪客户开展债券交易，参照适用本规则第十一条至第十三条、第十五条至第十六条的规定。</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个人经纪客户开展债券交易，参照适用本规则第十三条第二款、第十六条的规定。</w:t>
      </w:r>
    </w:p>
    <w:p w:rsidR="00137E10" w:rsidRPr="00667D50" w:rsidRDefault="00137E10" w:rsidP="00137E10">
      <w:pPr>
        <w:pStyle w:val="2"/>
        <w:keepNext w:val="0"/>
        <w:keepLines w:val="0"/>
        <w:numPr>
          <w:ilvl w:val="0"/>
          <w:numId w:val="3"/>
        </w:numPr>
        <w:spacing w:before="0" w:after="0" w:line="560" w:lineRule="exact"/>
        <w:jc w:val="center"/>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专业服务机构</w:t>
      </w:r>
      <w:bookmarkEnd w:id="17"/>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从事债券交易居间服务的机构应当遵循公正、公平、诚实守信、为客户保密的原则，建立有效的内部风险控制制度，根据客户委托提供寻找交易对手、报价、促成交易等服务。</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从事债券交易居间服务的机构应当按照本所要求将促成债券交易信息及统计信息报送本所。</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债券估值机构应当按照本所规定使用本所债券交易信息，科学确定并披露债券估值原则和方法，合理确定收益率曲线和债券估值。</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债券指数编制机构应当按照本所规定使用本所债券交易信息，基于公开透明原则披露债券指数编制方法，编制</w:t>
      </w:r>
      <w:r w:rsidRPr="00667D50">
        <w:rPr>
          <w:rFonts w:ascii="仿宋_GB2312" w:eastAsia="仿宋_GB2312" w:hAnsi="Times New Roman" w:hint="eastAsia"/>
          <w:color w:val="000000"/>
          <w:sz w:val="30"/>
          <w:szCs w:val="30"/>
        </w:rPr>
        <w:lastRenderedPageBreak/>
        <w:t>并发布有关债券指数。</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从事债券交易信息服务的机构应当按照相关规定和许可协议约定，传播、使用和经营债券交易信息，确保传播信息及时准确。</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从事债券交易技术服务的机构开展债券市场相关技术服务应当符合本所技术规范要求，及时做好技术系统维护和升级工作，保障技术系统的安全稳定运行。</w:t>
      </w:r>
    </w:p>
    <w:p w:rsidR="00137E10" w:rsidRPr="00667D50" w:rsidRDefault="00137E10" w:rsidP="00137E10">
      <w:pPr>
        <w:pStyle w:val="1"/>
        <w:keepNext w:val="0"/>
        <w:keepLines w:val="0"/>
        <w:numPr>
          <w:ilvl w:val="0"/>
          <w:numId w:val="1"/>
        </w:numPr>
        <w:spacing w:before="0" w:after="0" w:line="560" w:lineRule="exact"/>
        <w:ind w:left="748" w:hanging="748"/>
        <w:jc w:val="center"/>
        <w:rPr>
          <w:rFonts w:ascii="黑体" w:eastAsia="黑体" w:hAnsi="黑体"/>
          <w:sz w:val="30"/>
          <w:szCs w:val="30"/>
        </w:rPr>
      </w:pPr>
      <w:bookmarkStart w:id="18" w:name="_Toc18595386"/>
      <w:bookmarkStart w:id="19" w:name="_Toc27643084"/>
      <w:bookmarkEnd w:id="18"/>
      <w:r w:rsidRPr="00667D50">
        <w:rPr>
          <w:rFonts w:ascii="黑体" w:eastAsia="黑体" w:hAnsi="黑体" w:hint="eastAsia"/>
          <w:sz w:val="30"/>
          <w:szCs w:val="30"/>
        </w:rPr>
        <w:t>债券交易一般规定</w:t>
      </w:r>
      <w:bookmarkEnd w:id="19"/>
    </w:p>
    <w:p w:rsidR="00137E10" w:rsidRPr="00667D50" w:rsidRDefault="00137E10" w:rsidP="00137E10">
      <w:pPr>
        <w:pStyle w:val="2"/>
        <w:keepNext w:val="0"/>
        <w:keepLines w:val="0"/>
        <w:numPr>
          <w:ilvl w:val="0"/>
          <w:numId w:val="11"/>
        </w:numPr>
        <w:spacing w:before="0" w:after="0" w:line="560" w:lineRule="exact"/>
        <w:jc w:val="center"/>
        <w:rPr>
          <w:rFonts w:ascii="仿宋_GB2312" w:eastAsia="仿宋_GB2312" w:hAnsi="Times New Roman"/>
          <w:sz w:val="30"/>
          <w:szCs w:val="30"/>
        </w:rPr>
      </w:pPr>
      <w:bookmarkStart w:id="20" w:name="_Toc12360833"/>
      <w:bookmarkStart w:id="21" w:name="_Toc12545677"/>
      <w:bookmarkStart w:id="22" w:name="_Toc12545548"/>
      <w:bookmarkStart w:id="23" w:name="_Toc12360743"/>
      <w:bookmarkStart w:id="24" w:name="_Toc22662837"/>
      <w:bookmarkStart w:id="25" w:name="_Toc27643085"/>
      <w:bookmarkStart w:id="26" w:name="_Toc22662838"/>
      <w:bookmarkStart w:id="27" w:name="_Toc22573183"/>
      <w:bookmarkEnd w:id="20"/>
      <w:bookmarkEnd w:id="21"/>
      <w:bookmarkEnd w:id="22"/>
      <w:bookmarkEnd w:id="23"/>
      <w:bookmarkEnd w:id="24"/>
      <w:r w:rsidRPr="00667D50">
        <w:rPr>
          <w:rFonts w:ascii="仿宋_GB2312" w:eastAsia="仿宋_GB2312" w:hAnsi="Times New Roman" w:hint="eastAsia"/>
          <w:color w:val="000000"/>
          <w:sz w:val="30"/>
          <w:szCs w:val="30"/>
        </w:rPr>
        <w:t>一般规定</w:t>
      </w:r>
      <w:bookmarkStart w:id="28" w:name="_Toc22573185"/>
      <w:bookmarkStart w:id="29" w:name="_Toc22573186"/>
      <w:bookmarkStart w:id="30" w:name="_Toc22573012"/>
      <w:bookmarkStart w:id="31" w:name="_Toc22572928"/>
      <w:bookmarkStart w:id="32" w:name="_Toc22662839"/>
      <w:bookmarkStart w:id="33" w:name="_Toc22662841"/>
      <w:bookmarkStart w:id="34" w:name="_Toc22573184"/>
      <w:bookmarkStart w:id="35" w:name="_Toc22573014"/>
      <w:bookmarkStart w:id="36" w:name="_Toc22572929"/>
      <w:bookmarkStart w:id="37" w:name="_Toc22662840"/>
      <w:bookmarkStart w:id="38" w:name="_Toc22572930"/>
      <w:bookmarkStart w:id="39" w:name="_Toc22573013"/>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本所为债券交易提供交易场所和设施。交易设施由债券交易系统（以下简称交易系统）、电子接口、交易终端及相关的通信系统等组成。</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在本所开展的债券交易可以采用匹配成交、点击成交、询价成交、竞买成交、协商成交以及本所认可的其他交易方式。</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本所根据债券的信用资质、发行方式和投资者适当性等不同特点安排差异化的交易方式。本所可以对债券交易方式实施动态调整，并及时向市场公布。</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债券投资者开展债券交易，应当按照登记结算机构的相关规定开立证券账户。</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债券投资者应当按照相关规定使用证券账户，不得违反规定出借自己的证券账户或者借用他人证券账户从事债券交易。</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本所债券交易日为每周一至周五。</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国家法定假日和本所公告的休市日，本所债券市场休市。</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lastRenderedPageBreak/>
        <w:t>采用匹配成交方式的，每个交易日的9:15至9:25为集合匹配时间，9:30至11:30、13:00至15:30为连续匹配时间，本所另有规定的除外。</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采用点击成交、询价成交、协商成交方式的，每个交易日的9:00至11:30、13:00至</w:t>
      </w:r>
      <w:r w:rsidRPr="00667D50">
        <w:rPr>
          <w:rFonts w:ascii="仿宋_GB2312" w:eastAsia="仿宋_GB2312" w:hAnsi="Times New Roman"/>
          <w:color w:val="000000"/>
          <w:sz w:val="30"/>
          <w:szCs w:val="30"/>
        </w:rPr>
        <w:t>20:00</w:t>
      </w:r>
      <w:r w:rsidRPr="00667D50">
        <w:rPr>
          <w:rFonts w:ascii="仿宋_GB2312" w:eastAsia="仿宋_GB2312" w:hAnsi="Times New Roman" w:hint="eastAsia"/>
          <w:color w:val="000000"/>
          <w:sz w:val="30"/>
          <w:szCs w:val="30"/>
        </w:rPr>
        <w:t>为交易时间，本所另有规定的除外。</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采用竞买成交方式的，每个交易日的9:00至</w:t>
      </w:r>
      <w:r w:rsidRPr="00667D50">
        <w:rPr>
          <w:rFonts w:ascii="仿宋_GB2312" w:eastAsia="仿宋_GB2312" w:hAnsi="Times New Roman"/>
          <w:color w:val="000000"/>
          <w:sz w:val="30"/>
          <w:szCs w:val="30"/>
        </w:rPr>
        <w:t>10:00</w:t>
      </w:r>
      <w:r w:rsidRPr="00667D50">
        <w:rPr>
          <w:rFonts w:ascii="仿宋_GB2312" w:eastAsia="仿宋_GB2312" w:hAnsi="Times New Roman" w:hint="eastAsia"/>
          <w:color w:val="000000"/>
          <w:sz w:val="30"/>
          <w:szCs w:val="30"/>
        </w:rPr>
        <w:t>为卖方提交竞买发起申报时间，</w:t>
      </w:r>
      <w:r w:rsidRPr="00667D50">
        <w:rPr>
          <w:rFonts w:ascii="仿宋_GB2312" w:eastAsia="仿宋_GB2312" w:hAnsi="Times New Roman"/>
          <w:color w:val="000000"/>
          <w:sz w:val="30"/>
          <w:szCs w:val="30"/>
        </w:rPr>
        <w:t>10:00</w:t>
      </w:r>
      <w:r w:rsidRPr="00667D50">
        <w:rPr>
          <w:rFonts w:ascii="仿宋_GB2312" w:eastAsia="仿宋_GB2312" w:hAnsi="Times New Roman" w:hint="eastAsia"/>
          <w:color w:val="000000"/>
          <w:sz w:val="30"/>
          <w:szCs w:val="30"/>
        </w:rPr>
        <w:t>至11:30为应价方提交应价申报时间。</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交易时间内因故停市的，交易时间不作顺延。</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根据市场发展需要，本所可以调整债券交易时间。</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债券现券交易实行当日回转交易，债券投资者当日买入的债券可以在当日卖出。</w:t>
      </w:r>
    </w:p>
    <w:p w:rsidR="00137E10" w:rsidRPr="00667D50" w:rsidRDefault="00137E10" w:rsidP="00137E10">
      <w:pPr>
        <w:pStyle w:val="2"/>
        <w:keepNext w:val="0"/>
        <w:keepLines w:val="0"/>
        <w:numPr>
          <w:ilvl w:val="0"/>
          <w:numId w:val="11"/>
        </w:numPr>
        <w:spacing w:before="0" w:after="0" w:line="560" w:lineRule="exact"/>
        <w:jc w:val="center"/>
        <w:rPr>
          <w:rFonts w:ascii="仿宋_GB2312" w:eastAsia="仿宋_GB2312" w:hAnsi="Times New Roman"/>
          <w:color w:val="000000"/>
          <w:sz w:val="30"/>
          <w:szCs w:val="30"/>
        </w:rPr>
      </w:pPr>
      <w:bookmarkStart w:id="40" w:name="_Toc18410651"/>
      <w:bookmarkStart w:id="41" w:name="_Toc17791434"/>
      <w:bookmarkStart w:id="42" w:name="_Toc17799389"/>
      <w:bookmarkStart w:id="43" w:name="_Toc17799360"/>
      <w:bookmarkStart w:id="44" w:name="_Toc17993016"/>
      <w:bookmarkStart w:id="45" w:name="_Toc17465718"/>
      <w:bookmarkStart w:id="46" w:name="_Toc27643086"/>
      <w:bookmarkEnd w:id="40"/>
      <w:bookmarkEnd w:id="41"/>
      <w:bookmarkEnd w:id="42"/>
      <w:bookmarkEnd w:id="43"/>
      <w:bookmarkEnd w:id="44"/>
      <w:bookmarkEnd w:id="45"/>
      <w:r w:rsidRPr="00667D50">
        <w:rPr>
          <w:rFonts w:ascii="仿宋_GB2312" w:eastAsia="仿宋_GB2312" w:hAnsi="Times New Roman" w:hint="eastAsia"/>
          <w:color w:val="000000"/>
          <w:sz w:val="30"/>
          <w:szCs w:val="30"/>
        </w:rPr>
        <w:t>委托</w:t>
      </w:r>
      <w:bookmarkEnd w:id="46"/>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经纪客户可以通过书面、电话、自助终端、网络等自助委托方式委托会员参与债券交易。</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除本所另有规定外，经纪客户采用匹配成交方式的委托指令应当包括下列内容：</w:t>
      </w:r>
    </w:p>
    <w:p w:rsidR="00137E10" w:rsidRPr="00667D50" w:rsidRDefault="00137E10" w:rsidP="00137E10">
      <w:pPr>
        <w:pStyle w:val="a6"/>
        <w:numPr>
          <w:ilvl w:val="0"/>
          <w:numId w:val="12"/>
        </w:numPr>
        <w:adjustRightInd w:val="0"/>
        <w:snapToGrid w:val="0"/>
        <w:ind w:left="0" w:firstLine="600"/>
        <w:rPr>
          <w:rFonts w:hAnsi="Times New Roman"/>
          <w:sz w:val="30"/>
          <w:szCs w:val="30"/>
        </w:rPr>
      </w:pPr>
      <w:r w:rsidRPr="00667D50">
        <w:rPr>
          <w:rFonts w:hAnsi="Times New Roman" w:hint="eastAsia"/>
          <w:sz w:val="30"/>
          <w:szCs w:val="30"/>
        </w:rPr>
        <w:t>证券账户号码；</w:t>
      </w:r>
    </w:p>
    <w:p w:rsidR="00137E10" w:rsidRPr="00667D50" w:rsidRDefault="00137E10" w:rsidP="00137E10">
      <w:pPr>
        <w:pStyle w:val="a6"/>
        <w:numPr>
          <w:ilvl w:val="0"/>
          <w:numId w:val="12"/>
        </w:numPr>
        <w:adjustRightInd w:val="0"/>
        <w:snapToGrid w:val="0"/>
        <w:ind w:left="0" w:firstLine="600"/>
        <w:rPr>
          <w:rFonts w:hAnsi="Times New Roman"/>
          <w:sz w:val="30"/>
          <w:szCs w:val="30"/>
        </w:rPr>
      </w:pPr>
      <w:r w:rsidRPr="00667D50">
        <w:rPr>
          <w:rFonts w:hAnsi="Times New Roman" w:hint="eastAsia"/>
          <w:sz w:val="30"/>
          <w:szCs w:val="30"/>
        </w:rPr>
        <w:t>证券代码；</w:t>
      </w:r>
    </w:p>
    <w:p w:rsidR="00137E10" w:rsidRPr="00667D50" w:rsidRDefault="00137E10" w:rsidP="00137E10">
      <w:pPr>
        <w:pStyle w:val="a6"/>
        <w:numPr>
          <w:ilvl w:val="0"/>
          <w:numId w:val="12"/>
        </w:numPr>
        <w:adjustRightInd w:val="0"/>
        <w:snapToGrid w:val="0"/>
        <w:ind w:left="0" w:firstLine="600"/>
        <w:rPr>
          <w:rFonts w:hAnsi="Times New Roman"/>
          <w:sz w:val="30"/>
          <w:szCs w:val="30"/>
        </w:rPr>
      </w:pPr>
      <w:r w:rsidRPr="00667D50">
        <w:rPr>
          <w:rFonts w:hAnsi="Times New Roman" w:hint="eastAsia"/>
          <w:sz w:val="30"/>
          <w:szCs w:val="30"/>
        </w:rPr>
        <w:t>交易方向；</w:t>
      </w:r>
    </w:p>
    <w:p w:rsidR="00137E10" w:rsidRPr="00667D50" w:rsidRDefault="00137E10" w:rsidP="00137E10">
      <w:pPr>
        <w:pStyle w:val="a6"/>
        <w:numPr>
          <w:ilvl w:val="0"/>
          <w:numId w:val="12"/>
        </w:numPr>
        <w:adjustRightInd w:val="0"/>
        <w:snapToGrid w:val="0"/>
        <w:ind w:left="0" w:firstLine="600"/>
        <w:rPr>
          <w:rFonts w:hAnsi="Times New Roman"/>
          <w:sz w:val="30"/>
          <w:szCs w:val="30"/>
        </w:rPr>
      </w:pPr>
      <w:r w:rsidRPr="00667D50">
        <w:rPr>
          <w:rFonts w:hAnsi="Times New Roman" w:hint="eastAsia"/>
          <w:sz w:val="30"/>
          <w:szCs w:val="30"/>
        </w:rPr>
        <w:t>委托数量；</w:t>
      </w:r>
    </w:p>
    <w:p w:rsidR="00137E10" w:rsidRPr="00667D50" w:rsidRDefault="00137E10" w:rsidP="00137E10">
      <w:pPr>
        <w:pStyle w:val="a6"/>
        <w:numPr>
          <w:ilvl w:val="0"/>
          <w:numId w:val="12"/>
        </w:numPr>
        <w:adjustRightInd w:val="0"/>
        <w:snapToGrid w:val="0"/>
        <w:ind w:left="0" w:firstLine="600"/>
        <w:rPr>
          <w:rFonts w:hAnsi="Times New Roman"/>
          <w:sz w:val="30"/>
          <w:szCs w:val="30"/>
        </w:rPr>
      </w:pPr>
      <w:r w:rsidRPr="00667D50">
        <w:rPr>
          <w:rFonts w:hAnsi="Times New Roman" w:hint="eastAsia"/>
          <w:sz w:val="30"/>
          <w:szCs w:val="30"/>
        </w:rPr>
        <w:t>委托价格；</w:t>
      </w:r>
    </w:p>
    <w:p w:rsidR="00137E10" w:rsidRPr="00667D50" w:rsidRDefault="00137E10" w:rsidP="00137E10">
      <w:pPr>
        <w:pStyle w:val="a6"/>
        <w:numPr>
          <w:ilvl w:val="0"/>
          <w:numId w:val="12"/>
        </w:numPr>
        <w:adjustRightInd w:val="0"/>
        <w:snapToGrid w:val="0"/>
        <w:ind w:left="0" w:firstLine="600"/>
        <w:rPr>
          <w:rFonts w:hAnsi="Times New Roman"/>
          <w:color w:val="000000"/>
          <w:sz w:val="30"/>
          <w:szCs w:val="30"/>
        </w:rPr>
      </w:pPr>
      <w:r w:rsidRPr="00667D50">
        <w:rPr>
          <w:rFonts w:hAnsi="Times New Roman" w:hint="eastAsia"/>
          <w:sz w:val="30"/>
          <w:szCs w:val="30"/>
        </w:rPr>
        <w:t>本所及会员要求的其他内容。</w:t>
      </w:r>
    </w:p>
    <w:p w:rsidR="00137E10" w:rsidRPr="00667D50" w:rsidRDefault="00137E10" w:rsidP="00137E10">
      <w:pPr>
        <w:pStyle w:val="a6"/>
        <w:adjustRightInd w:val="0"/>
        <w:snapToGrid w:val="0"/>
        <w:ind w:firstLine="600"/>
        <w:rPr>
          <w:rFonts w:hAnsi="Times New Roman"/>
          <w:color w:val="000000"/>
          <w:sz w:val="30"/>
          <w:szCs w:val="30"/>
        </w:rPr>
      </w:pPr>
      <w:r w:rsidRPr="00667D50">
        <w:rPr>
          <w:rFonts w:hAnsi="Times New Roman" w:hint="eastAsia"/>
          <w:sz w:val="30"/>
          <w:szCs w:val="30"/>
        </w:rPr>
        <w:lastRenderedPageBreak/>
        <w:t>经纪客户采用点击成交、询价成交、竞买成交、协商成交方式的委托指令内容按照本规则和本所其他相关业务规则的规定执行。</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经纪客户委托会员申报并达成债券交易的，应当及时向会员交付相应的债券或者资金。</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经纪客户可以撤销委托指令的未成交部分。</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4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委托指令被撤销和失效的，会员应当在确认后及时向经纪客户返还相应的债券或者资金。</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会员应当建立完善的投资者适当性管理制度和债券交易监测监控系统，按照本所会员管理相关规则对其经纪客户的债券交易委托指令进行核查。对于不符合相关规定或者可能严重影响正常交易秩序的委托指令，会员应当拒绝接受。</w:t>
      </w:r>
    </w:p>
    <w:p w:rsidR="00137E10" w:rsidRPr="00667D50" w:rsidRDefault="00137E10" w:rsidP="00137E10">
      <w:pPr>
        <w:pStyle w:val="2"/>
        <w:keepNext w:val="0"/>
        <w:keepLines w:val="0"/>
        <w:numPr>
          <w:ilvl w:val="0"/>
          <w:numId w:val="11"/>
        </w:numPr>
        <w:spacing w:before="0" w:after="0" w:line="560" w:lineRule="exact"/>
        <w:jc w:val="center"/>
        <w:rPr>
          <w:rFonts w:ascii="仿宋_GB2312" w:eastAsia="仿宋_GB2312" w:hAnsi="Times New Roman"/>
          <w:color w:val="000000"/>
          <w:sz w:val="30"/>
          <w:szCs w:val="30"/>
        </w:rPr>
      </w:pPr>
      <w:bookmarkStart w:id="47" w:name="_Toc24638115"/>
      <w:bookmarkStart w:id="48" w:name="_Toc27643087"/>
      <w:bookmarkEnd w:id="47"/>
      <w:r w:rsidRPr="00667D50">
        <w:rPr>
          <w:rFonts w:ascii="仿宋_GB2312" w:eastAsia="仿宋_GB2312" w:hAnsi="Times New Roman" w:hint="eastAsia"/>
          <w:color w:val="000000"/>
          <w:sz w:val="30"/>
          <w:szCs w:val="30"/>
        </w:rPr>
        <w:t>申报</w:t>
      </w:r>
      <w:bookmarkEnd w:id="48"/>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债券交易参与人及本所认可的其他机构通过电子接口或者交易终端等向交易系统发送债券交易申报指令。</w:t>
      </w:r>
    </w:p>
    <w:p w:rsidR="00137E10" w:rsidRPr="00667D50" w:rsidRDefault="00137E10" w:rsidP="00137E10">
      <w:pPr>
        <w:pStyle w:val="a5"/>
        <w:widowControl w:val="0"/>
        <w:shd w:val="clear" w:color="auto" w:fill="FFFFFF"/>
        <w:spacing w:before="0" w:beforeAutospacing="0" w:after="0" w:afterAutospacing="0" w:line="560" w:lineRule="exact"/>
        <w:ind w:firstLineChars="200" w:firstLine="600"/>
        <w:jc w:val="both"/>
        <w:rPr>
          <w:rFonts w:ascii="仿宋_GB2312" w:eastAsia="仿宋_GB2312" w:hAnsi="Times New Roman"/>
          <w:sz w:val="30"/>
          <w:szCs w:val="30"/>
        </w:rPr>
      </w:pPr>
      <w:r w:rsidRPr="00667D50">
        <w:rPr>
          <w:rFonts w:ascii="仿宋_GB2312" w:eastAsia="仿宋_GB2312" w:hAnsi="Times New Roman" w:hint="eastAsia"/>
          <w:color w:val="000000"/>
          <w:sz w:val="30"/>
          <w:szCs w:val="30"/>
        </w:rPr>
        <w:t>会员应当</w:t>
      </w:r>
      <w:r w:rsidRPr="00667D50">
        <w:rPr>
          <w:rFonts w:ascii="仿宋_GB2312" w:eastAsia="仿宋_GB2312" w:hAnsi="Times New Roman" w:hint="eastAsia"/>
          <w:sz w:val="30"/>
          <w:szCs w:val="30"/>
        </w:rPr>
        <w:t>根据经纪客户委托的内容，及时向交易系统发送各种交易方式的申报指令。会员应当对其向交易系统发送的债券交易申报指令的合法性、真实性、准确性及完整性承担相应的法律责任。</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本所交易系统在本规则第四十三条规定的交易时间内，接受相应的债券交易申报。</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除本所另有规定外，债券交易申报数量应当符合以下要求：</w:t>
      </w:r>
    </w:p>
    <w:p w:rsidR="00137E10" w:rsidRPr="00667D50" w:rsidRDefault="00137E10" w:rsidP="00137E10">
      <w:pPr>
        <w:pStyle w:val="a6"/>
        <w:numPr>
          <w:ilvl w:val="1"/>
          <w:numId w:val="13"/>
        </w:numPr>
        <w:ind w:firstLine="600"/>
        <w:rPr>
          <w:rFonts w:hAnsi="Times New Roman"/>
          <w:color w:val="000000"/>
          <w:sz w:val="30"/>
          <w:szCs w:val="30"/>
        </w:rPr>
      </w:pPr>
      <w:r w:rsidRPr="00667D50">
        <w:rPr>
          <w:rFonts w:hAnsi="Times New Roman" w:hint="eastAsia"/>
          <w:color w:val="000000"/>
          <w:sz w:val="30"/>
          <w:szCs w:val="30"/>
        </w:rPr>
        <w:t>采用匹配成交方式的，债券现券</w:t>
      </w:r>
      <w:r w:rsidRPr="00667D50">
        <w:rPr>
          <w:rFonts w:hAnsi="Times New Roman" w:hint="eastAsia"/>
          <w:sz w:val="30"/>
          <w:szCs w:val="30"/>
        </w:rPr>
        <w:t>的申报数量应当为</w:t>
      </w:r>
      <w:r w:rsidRPr="00667D50">
        <w:rPr>
          <w:rFonts w:hAnsi="Times New Roman"/>
          <w:sz w:val="30"/>
          <w:szCs w:val="30"/>
        </w:rPr>
        <w:lastRenderedPageBreak/>
        <w:t>10</w:t>
      </w:r>
      <w:r w:rsidRPr="00667D50">
        <w:rPr>
          <w:rFonts w:hAnsi="Times New Roman" w:hint="eastAsia"/>
          <w:sz w:val="30"/>
          <w:szCs w:val="30"/>
        </w:rPr>
        <w:t>万元面额或者其整数倍，卖出时不足10万元面额的部分，应当一次性申报；</w:t>
      </w:r>
      <w:r w:rsidRPr="00667D50">
        <w:rPr>
          <w:rFonts w:hAnsi="Times New Roman" w:hint="eastAsia"/>
          <w:color w:val="000000"/>
          <w:sz w:val="30"/>
          <w:szCs w:val="30"/>
        </w:rPr>
        <w:t>债券通用质押式回购的申报数量应当为1000元面额或者其整数倍；</w:t>
      </w:r>
    </w:p>
    <w:p w:rsidR="00137E10" w:rsidRPr="00667D50" w:rsidRDefault="00137E10" w:rsidP="00137E10">
      <w:pPr>
        <w:pStyle w:val="a6"/>
        <w:numPr>
          <w:ilvl w:val="1"/>
          <w:numId w:val="13"/>
        </w:numPr>
        <w:ind w:firstLine="600"/>
        <w:rPr>
          <w:rFonts w:hAnsi="Times New Roman"/>
          <w:color w:val="000000"/>
          <w:sz w:val="30"/>
          <w:szCs w:val="30"/>
        </w:rPr>
      </w:pPr>
      <w:r w:rsidRPr="00667D50">
        <w:rPr>
          <w:rFonts w:hAnsi="Times New Roman" w:hint="eastAsia"/>
          <w:color w:val="000000"/>
          <w:sz w:val="30"/>
          <w:szCs w:val="30"/>
        </w:rPr>
        <w:t>采用点击成交方式的，申报数量应当为10万元面额或者其整数倍；</w:t>
      </w:r>
    </w:p>
    <w:p w:rsidR="00137E10" w:rsidRPr="00667D50" w:rsidRDefault="00137E10" w:rsidP="00137E10">
      <w:pPr>
        <w:pStyle w:val="a6"/>
        <w:numPr>
          <w:ilvl w:val="1"/>
          <w:numId w:val="13"/>
        </w:numPr>
        <w:ind w:firstLine="600"/>
        <w:rPr>
          <w:rFonts w:hAnsi="Times New Roman"/>
          <w:color w:val="000000"/>
          <w:sz w:val="30"/>
          <w:szCs w:val="30"/>
        </w:rPr>
      </w:pPr>
      <w:r w:rsidRPr="00667D50">
        <w:rPr>
          <w:rFonts w:hAnsi="Times New Roman" w:hint="eastAsia"/>
          <w:color w:val="000000"/>
          <w:sz w:val="30"/>
          <w:szCs w:val="30"/>
        </w:rPr>
        <w:t>采用询价成交、竞买成交方式的，申报数量应当不低于10万元面额，且为1000元面额的整数倍；</w:t>
      </w:r>
    </w:p>
    <w:p w:rsidR="00137E10" w:rsidRPr="00667D50" w:rsidRDefault="00137E10" w:rsidP="00137E10">
      <w:pPr>
        <w:pStyle w:val="a6"/>
        <w:numPr>
          <w:ilvl w:val="1"/>
          <w:numId w:val="13"/>
        </w:numPr>
        <w:ind w:firstLine="600"/>
        <w:rPr>
          <w:rFonts w:hAnsi="Times New Roman"/>
          <w:color w:val="000000"/>
          <w:sz w:val="30"/>
          <w:szCs w:val="30"/>
        </w:rPr>
      </w:pPr>
      <w:r w:rsidRPr="00667D50">
        <w:rPr>
          <w:rFonts w:hAnsi="Times New Roman" w:hint="eastAsia"/>
          <w:color w:val="000000"/>
          <w:sz w:val="30"/>
          <w:szCs w:val="30"/>
        </w:rPr>
        <w:t>采用协商成交方式的，债券现券申报数量应当不低于1000元面额，且为100元面额整数倍。债券通用质押式回购的申报数量应当为1000元面额或者其整数倍；</w:t>
      </w:r>
    </w:p>
    <w:p w:rsidR="00137E10" w:rsidRPr="00667D50" w:rsidRDefault="00137E10" w:rsidP="00137E10">
      <w:pPr>
        <w:pStyle w:val="a6"/>
        <w:numPr>
          <w:ilvl w:val="1"/>
          <w:numId w:val="13"/>
        </w:numPr>
        <w:ind w:firstLine="600"/>
        <w:rPr>
          <w:rFonts w:hAnsi="Times New Roman"/>
          <w:sz w:val="30"/>
          <w:szCs w:val="30"/>
        </w:rPr>
      </w:pPr>
      <w:r w:rsidRPr="00667D50">
        <w:rPr>
          <w:rFonts w:hAnsi="Times New Roman" w:hint="eastAsia"/>
          <w:color w:val="000000"/>
          <w:sz w:val="30"/>
          <w:szCs w:val="30"/>
        </w:rPr>
        <w:t>债券交易的单笔最大申报数量不得超过100亿元面额。</w:t>
      </w:r>
    </w:p>
    <w:p w:rsidR="00137E10" w:rsidRPr="00667D50" w:rsidRDefault="00137E10" w:rsidP="00137E10">
      <w:pPr>
        <w:pStyle w:val="a6"/>
        <w:ind w:firstLine="600"/>
        <w:rPr>
          <w:rFonts w:hAnsi="Times New Roman"/>
          <w:sz w:val="30"/>
          <w:szCs w:val="30"/>
        </w:rPr>
      </w:pPr>
      <w:r w:rsidRPr="00667D50">
        <w:rPr>
          <w:rFonts w:hAnsi="Times New Roman" w:hint="eastAsia"/>
          <w:sz w:val="30"/>
          <w:szCs w:val="30"/>
        </w:rPr>
        <w:t>本所可以根据市场发展需要，调整债券交易申报数量</w:t>
      </w:r>
      <w:r w:rsidRPr="00667D50">
        <w:rPr>
          <w:rFonts w:hAnsi="Times New Roman" w:hint="eastAsia"/>
          <w:color w:val="000000"/>
          <w:sz w:val="30"/>
          <w:szCs w:val="30"/>
        </w:rPr>
        <w:t>要求</w:t>
      </w:r>
      <w:r w:rsidRPr="00667D50">
        <w:rPr>
          <w:rFonts w:hAnsi="Times New Roman" w:hint="eastAsia"/>
          <w:sz w:val="30"/>
          <w:szCs w:val="30"/>
        </w:rPr>
        <w:t>。</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债券现券交易申报的价格单位为“每百元面额债券的价格”，债券通用质押式回购的价格单位为“每百元资金到期年收益”。本所另有规定的除外。</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匹配成交方式的，债券现券的申报价格最小变动单位为0.001元，债券通用质押式回购的申报价格最小变动单位为0.005元；采用其他交易方式的，债券交易的申报价格最小变动单位为0.0001元。本所另有规定的除外。</w:t>
      </w:r>
    </w:p>
    <w:p w:rsidR="00137E10" w:rsidRPr="00667D50" w:rsidRDefault="00137E10" w:rsidP="00137E10">
      <w:pPr>
        <w:pStyle w:val="a6"/>
        <w:ind w:firstLine="600"/>
        <w:rPr>
          <w:rFonts w:hAnsi="Times New Roman"/>
          <w:sz w:val="30"/>
          <w:szCs w:val="30"/>
        </w:rPr>
      </w:pPr>
      <w:r w:rsidRPr="00667D50">
        <w:rPr>
          <w:rFonts w:hAnsi="Times" w:hint="eastAsia"/>
          <w:sz w:val="30"/>
          <w:szCs w:val="30"/>
        </w:rPr>
        <w:t>有效</w:t>
      </w:r>
      <w:r w:rsidRPr="00667D50">
        <w:rPr>
          <w:rFonts w:hAnsi="Times New Roman" w:cs="宋体" w:hint="eastAsia"/>
          <w:color w:val="000000"/>
          <w:kern w:val="0"/>
          <w:sz w:val="30"/>
          <w:szCs w:val="30"/>
        </w:rPr>
        <w:t>申报价格</w:t>
      </w:r>
      <w:r w:rsidRPr="00667D50">
        <w:rPr>
          <w:rFonts w:hAnsi="Times" w:hint="eastAsia"/>
          <w:sz w:val="30"/>
          <w:szCs w:val="30"/>
        </w:rPr>
        <w:t>范围或者</w:t>
      </w:r>
      <w:r w:rsidRPr="00667D50">
        <w:rPr>
          <w:rFonts w:hAnsi="Times New Roman" w:hint="eastAsia"/>
          <w:sz w:val="30"/>
          <w:szCs w:val="30"/>
        </w:rPr>
        <w:t>按照成交原则达成的价格不在价格最小变动单位范围内的，按照四舍五入原则取至相应的价格最小变动单位。</w:t>
      </w:r>
    </w:p>
    <w:p w:rsidR="00137E10" w:rsidRPr="00667D50" w:rsidRDefault="00137E10" w:rsidP="00137E10">
      <w:pPr>
        <w:pStyle w:val="a6"/>
        <w:ind w:firstLine="600"/>
        <w:rPr>
          <w:rFonts w:hAnsi="Times New Roman"/>
          <w:sz w:val="30"/>
          <w:szCs w:val="30"/>
        </w:rPr>
      </w:pPr>
      <w:r w:rsidRPr="00667D50">
        <w:rPr>
          <w:rFonts w:hAnsi="Times New Roman" w:cs="宋体" w:hint="eastAsia"/>
          <w:color w:val="000000"/>
          <w:kern w:val="0"/>
          <w:sz w:val="30"/>
          <w:szCs w:val="30"/>
        </w:rPr>
        <w:t>本所可以根据市场发展需要，调整申报价格最小变动单位。</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lastRenderedPageBreak/>
        <w:t>债券现券交易采用净价价格进行申报，本所另有规定采用全价价格进行申报的除外。</w:t>
      </w:r>
    </w:p>
    <w:p w:rsidR="00137E10" w:rsidRPr="00667D50" w:rsidRDefault="00137E10" w:rsidP="00137E10">
      <w:pPr>
        <w:pStyle w:val="a5"/>
        <w:widowControl w:val="0"/>
        <w:shd w:val="clear" w:color="auto" w:fill="FFFFFF"/>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净价价格是指不含当期应计利息的价格；全价价格是指包含当期应计利息的价格。</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债券交易不设价格涨跌幅限制，本所另有规定的除外。</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债券交易的结算方式包括多边净额结算和逐笔全额结算等。债券投资者选择结算方式及结算周期的，应当符合本所和登记结算机构的规定及要求。</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债券交易申报中采用逐笔全额结算方式的，债券投资者可以选择结算周期，债券现券交易结算日（或者债券回购交易的首次结算日）不得晚于交易当日后的第三个交易日（含），本所另有规定的除外。</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15:30至20:00申报的债券交易，结算方式应当为逐笔全额结算，且债券现券交易结算日（或者债券回购交易的首次结算日）不得为交易当日。</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采用匹配成交方式的，债券投资者以匿名方式进行申报；采用协商成交方式的，债券投资者以显名方式进行申报；采用其他交易方式的，债券投资者可以选择以匿名或者显名方式进行申报。</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当日提交的债券交易申报当日有效，本所另有规定的除外。</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采用匹配成交、点击成交与询价成交方式的，债券交易申报不能一次全部成交时，未成交部分当日继续有效。</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lastRenderedPageBreak/>
        <w:t>未成交申报可以撤销；部分成交的，未成交部分可以撤销。撤销指令经交易系统确认方为有效。本所另有规定的除外。</w:t>
      </w:r>
    </w:p>
    <w:p w:rsidR="00137E10" w:rsidRPr="00667D50" w:rsidRDefault="00137E10" w:rsidP="00137E10">
      <w:pPr>
        <w:pStyle w:val="2"/>
        <w:keepNext w:val="0"/>
        <w:keepLines w:val="0"/>
        <w:numPr>
          <w:ilvl w:val="0"/>
          <w:numId w:val="11"/>
        </w:numPr>
        <w:spacing w:before="0" w:after="0" w:line="560" w:lineRule="exact"/>
        <w:jc w:val="center"/>
        <w:rPr>
          <w:rFonts w:ascii="仿宋_GB2312" w:eastAsia="仿宋_GB2312" w:hAnsi="Times New Roman"/>
          <w:color w:val="000000"/>
          <w:sz w:val="30"/>
          <w:szCs w:val="30"/>
        </w:rPr>
      </w:pPr>
      <w:bookmarkStart w:id="49" w:name="_Toc18410654"/>
      <w:bookmarkStart w:id="50" w:name="_Toc27643088"/>
      <w:bookmarkEnd w:id="49"/>
      <w:r w:rsidRPr="00667D50">
        <w:rPr>
          <w:rFonts w:ascii="仿宋_GB2312" w:eastAsia="仿宋_GB2312" w:hAnsi="Times New Roman" w:hint="eastAsia"/>
          <w:color w:val="000000"/>
          <w:sz w:val="30"/>
          <w:szCs w:val="30"/>
        </w:rPr>
        <w:t>成交</w:t>
      </w:r>
      <w:bookmarkEnd w:id="50"/>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债券交易申报依据法律、行政法规、部门规章、规范性文件和本规则的相关规定以及债券投资者的风险控制要求和交易需求，按照价格竞争性、数量匹配性、时间优先性等原则达成交易。</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交易申报经交易系统确认成交后，交易即告成立。符合本规则各项规定达成的债券交易于成立时生效，成交结果以交易系统记录的成交数据为准。交易双方应当承认交易结果，履行清算交收义务。本所另有规定的除外。</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债券交易采用竞买成交方式，或者采用其他交易方式并以多边净额结算方式结算的，经交易系统确认成交后不得解除交易或者改变交易结果，但本规则第一百三十条规定的情形除外。</w:t>
      </w:r>
    </w:p>
    <w:p w:rsidR="00137E10" w:rsidRPr="00287CDF"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采用点击成交、询价成交、协商成交方式并以逐笔全额结算方式结算的，出现因不可抗力、预期违约、迟延履行等情形导致交易目的无法实现或者交易不能继续履行的，</w:t>
      </w:r>
      <w:r w:rsidRPr="00287CDF">
        <w:rPr>
          <w:rFonts w:ascii="仿宋_GB2312" w:eastAsia="仿宋_GB2312" w:hAnsi="Times New Roman" w:hint="eastAsia"/>
          <w:color w:val="000000"/>
          <w:sz w:val="30"/>
          <w:szCs w:val="30"/>
        </w:rPr>
        <w:t>在交收开始前，交易双方协商一致并经本所认可后，可以解除相关交易。</w:t>
      </w:r>
    </w:p>
    <w:p w:rsidR="00137E10" w:rsidRPr="00287CDF"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287CDF">
        <w:rPr>
          <w:rFonts w:ascii="仿宋_GB2312" w:eastAsia="仿宋_GB2312" w:hAnsi="Times New Roman" w:hint="eastAsia"/>
          <w:color w:val="000000"/>
          <w:sz w:val="30"/>
          <w:szCs w:val="30"/>
        </w:rPr>
        <w:t>非公开发行债券的转让，导致债券持有人数量超过法律、行政法规、部门规章、规范性文件或者本所业务规则规定人数上限的，交易系统不予确认成交。</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b/>
          <w:color w:val="000000"/>
          <w:sz w:val="30"/>
          <w:szCs w:val="30"/>
        </w:rPr>
      </w:pPr>
      <w:r w:rsidRPr="00287CDF">
        <w:rPr>
          <w:rFonts w:ascii="仿宋_GB2312" w:eastAsia="仿宋_GB2312" w:hAnsi="Times New Roman" w:hint="eastAsia"/>
          <w:color w:val="000000"/>
          <w:sz w:val="30"/>
          <w:szCs w:val="30"/>
        </w:rPr>
        <w:t>采用逐笔全额结算方式的债券交易，债券投资</w:t>
      </w:r>
      <w:r w:rsidRPr="00287CDF">
        <w:rPr>
          <w:rFonts w:ascii="仿宋_GB2312" w:eastAsia="仿宋_GB2312" w:hAnsi="Times New Roman" w:hint="eastAsia"/>
          <w:color w:val="000000"/>
          <w:sz w:val="30"/>
          <w:szCs w:val="30"/>
        </w:rPr>
        <w:lastRenderedPageBreak/>
        <w:t>者可以通过交易系统设置交易对手范围，交易一方不在交易对手范围内的交易申报，交易系统不予确认成交。</w:t>
      </w:r>
    </w:p>
    <w:p w:rsidR="00137E10" w:rsidRPr="00667D50" w:rsidRDefault="00137E10" w:rsidP="00137E10">
      <w:pPr>
        <w:pStyle w:val="1"/>
        <w:keepNext w:val="0"/>
        <w:keepLines w:val="0"/>
        <w:numPr>
          <w:ilvl w:val="0"/>
          <w:numId w:val="1"/>
        </w:numPr>
        <w:spacing w:before="0" w:after="0" w:line="560" w:lineRule="exact"/>
        <w:ind w:left="748" w:hanging="748"/>
        <w:jc w:val="center"/>
        <w:rPr>
          <w:rFonts w:ascii="黑体" w:eastAsia="黑体" w:hAnsi="黑体"/>
          <w:sz w:val="30"/>
          <w:szCs w:val="30"/>
        </w:rPr>
      </w:pPr>
      <w:bookmarkStart w:id="51" w:name="_Toc13767181"/>
      <w:bookmarkStart w:id="52" w:name="_Toc22572936"/>
      <w:bookmarkStart w:id="53" w:name="_Toc13767306"/>
      <w:bookmarkStart w:id="54" w:name="_Toc22573194"/>
      <w:bookmarkStart w:id="55" w:name="_Toc13759403"/>
      <w:bookmarkStart w:id="56" w:name="_Toc22573019"/>
      <w:bookmarkStart w:id="57" w:name="_Toc22573192"/>
      <w:bookmarkStart w:id="58" w:name="_Toc22573021"/>
      <w:bookmarkStart w:id="59" w:name="_Toc22572935"/>
      <w:bookmarkStart w:id="60" w:name="_Toc13759404"/>
      <w:bookmarkStart w:id="61" w:name="_Toc13766976"/>
      <w:bookmarkStart w:id="62" w:name="_Toc13766270"/>
      <w:bookmarkStart w:id="63" w:name="_Toc22573193"/>
      <w:bookmarkStart w:id="64" w:name="_Toc22662847"/>
      <w:bookmarkStart w:id="65" w:name="_Toc13765416"/>
      <w:bookmarkStart w:id="66" w:name="_Toc22573191"/>
      <w:bookmarkStart w:id="67" w:name="_Toc22572938"/>
      <w:bookmarkStart w:id="68" w:name="_Toc22662849"/>
      <w:bookmarkStart w:id="69" w:name="_Toc13766269"/>
      <w:bookmarkStart w:id="70" w:name="_Toc18595392"/>
      <w:bookmarkStart w:id="71" w:name="_Toc13765417"/>
      <w:bookmarkStart w:id="72" w:name="_Toc22573020"/>
      <w:bookmarkStart w:id="73" w:name="_Toc22662846"/>
      <w:bookmarkStart w:id="74" w:name="_Toc22572937"/>
      <w:bookmarkStart w:id="75" w:name="_Toc22573022"/>
      <w:bookmarkStart w:id="76" w:name="_Toc22662848"/>
      <w:bookmarkStart w:id="77" w:name="_Toc13766975"/>
      <w:bookmarkStart w:id="78" w:name="_Toc13767305"/>
      <w:bookmarkStart w:id="79" w:name="_Toc13767182"/>
      <w:bookmarkStart w:id="80" w:name="_Toc27643089"/>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r w:rsidRPr="00667D50">
        <w:rPr>
          <w:rFonts w:ascii="黑体" w:eastAsia="黑体" w:hAnsi="黑体" w:hint="eastAsia"/>
          <w:sz w:val="30"/>
          <w:szCs w:val="30"/>
        </w:rPr>
        <w:t>债券交易方式</w:t>
      </w:r>
      <w:bookmarkEnd w:id="80"/>
    </w:p>
    <w:p w:rsidR="00137E10" w:rsidRPr="00667D50" w:rsidRDefault="00137E10" w:rsidP="00137E10">
      <w:pPr>
        <w:pStyle w:val="2"/>
        <w:keepNext w:val="0"/>
        <w:keepLines w:val="0"/>
        <w:numPr>
          <w:ilvl w:val="0"/>
          <w:numId w:val="14"/>
        </w:numPr>
        <w:spacing w:before="0" w:after="0" w:line="560" w:lineRule="exact"/>
        <w:jc w:val="center"/>
        <w:rPr>
          <w:rFonts w:ascii="仿宋_GB2312" w:eastAsia="仿宋_GB2312" w:hAnsi="Times New Roman"/>
          <w:sz w:val="30"/>
          <w:szCs w:val="30"/>
        </w:rPr>
      </w:pPr>
      <w:bookmarkStart w:id="81" w:name="_Toc12545682"/>
      <w:bookmarkStart w:id="82" w:name="_Toc12545553"/>
      <w:bookmarkStart w:id="83" w:name="_Toc27643090"/>
      <w:bookmarkStart w:id="84" w:name="_Toc22662851"/>
      <w:bookmarkEnd w:id="81"/>
      <w:bookmarkEnd w:id="82"/>
      <w:r w:rsidRPr="00667D50">
        <w:rPr>
          <w:rFonts w:ascii="仿宋_GB2312" w:eastAsia="仿宋_GB2312" w:hAnsi="Times New Roman" w:hint="eastAsia"/>
          <w:color w:val="000000"/>
          <w:sz w:val="30"/>
          <w:szCs w:val="30"/>
        </w:rPr>
        <w:t>匹配</w:t>
      </w:r>
      <w:bookmarkStart w:id="85" w:name="_Toc22573196"/>
      <w:r w:rsidRPr="00667D50">
        <w:rPr>
          <w:rFonts w:ascii="仿宋_GB2312" w:eastAsia="仿宋_GB2312" w:hAnsi="Times New Roman" w:hint="eastAsia"/>
          <w:color w:val="000000"/>
          <w:sz w:val="30"/>
          <w:szCs w:val="30"/>
        </w:rPr>
        <w:t>成交</w:t>
      </w:r>
      <w:bookmarkStart w:id="86" w:name="_Toc22573027"/>
      <w:bookmarkStart w:id="87" w:name="_Toc22662852"/>
      <w:bookmarkStart w:id="88" w:name="_Toc22573028"/>
      <w:bookmarkStart w:id="89" w:name="_Toc22573200"/>
      <w:bookmarkStart w:id="90" w:name="_Toc22573026"/>
      <w:bookmarkStart w:id="91" w:name="_Toc22662854"/>
      <w:bookmarkStart w:id="92" w:name="_Toc22573198"/>
      <w:bookmarkStart w:id="93" w:name="_Toc22662853"/>
      <w:bookmarkStart w:id="94" w:name="_Toc22572941"/>
      <w:bookmarkStart w:id="95" w:name="_Toc22573199"/>
      <w:bookmarkStart w:id="96" w:name="_Toc22573197"/>
      <w:bookmarkStart w:id="97" w:name="_Toc22573025"/>
      <w:bookmarkStart w:id="98" w:name="_Toc22572942"/>
      <w:bookmarkStart w:id="99" w:name="_Toc22662855"/>
      <w:bookmarkStart w:id="100" w:name="_Toc22572944"/>
      <w:bookmarkStart w:id="101" w:name="_Toc22572943"/>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匹配成交是指交易系统按照价格优先、时间优先的原则和本规则相关规定，对债券交易申报自动匹配成交并实行多边净额结算的交易方式。</w:t>
      </w:r>
    </w:p>
    <w:p w:rsidR="00137E10" w:rsidRPr="00667D50" w:rsidRDefault="00137E10" w:rsidP="00137E10">
      <w:pPr>
        <w:pStyle w:val="a6"/>
        <w:ind w:firstLine="600"/>
        <w:rPr>
          <w:rFonts w:hAnsi="Times New Roman"/>
          <w:color w:val="000000"/>
          <w:sz w:val="30"/>
          <w:szCs w:val="30"/>
        </w:rPr>
      </w:pPr>
      <w:r w:rsidRPr="00667D50">
        <w:rPr>
          <w:rFonts w:hAnsi="Times New Roman" w:hint="eastAsia"/>
          <w:color w:val="000000"/>
          <w:sz w:val="30"/>
          <w:szCs w:val="30"/>
        </w:rPr>
        <w:t>成交时价格优先的原则为：较高价格买入申报优先于较低价格买入申报，较低价格卖出申报优先于较高价格卖出申报。</w:t>
      </w:r>
    </w:p>
    <w:p w:rsidR="00137E10" w:rsidRPr="00667D50" w:rsidRDefault="00137E10" w:rsidP="00137E10">
      <w:pPr>
        <w:pStyle w:val="a6"/>
        <w:ind w:firstLine="600"/>
        <w:rPr>
          <w:rFonts w:hAnsi="Times New Roman"/>
          <w:color w:val="000000"/>
          <w:sz w:val="30"/>
          <w:szCs w:val="30"/>
        </w:rPr>
      </w:pPr>
      <w:r w:rsidRPr="00667D50">
        <w:rPr>
          <w:rFonts w:hAnsi="Times New Roman" w:hint="eastAsia"/>
          <w:color w:val="000000"/>
          <w:sz w:val="30"/>
          <w:szCs w:val="30"/>
        </w:rPr>
        <w:t>成交时时间优先的原则为：交易方向、价格相同的，先申报者优先于后申报者。先后顺序按照交易系统接受申报的时间确定。</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匹配成交采用集合匹配和连续匹配两种方式。集合匹配是对规定时间内接受的交易申报一次性集中匹配的成交方式。连续匹配是对接受的交易申报逐笔连续匹配的成交方式。</w:t>
      </w:r>
    </w:p>
    <w:p w:rsidR="00137E10" w:rsidRPr="00667D50" w:rsidRDefault="00137E10" w:rsidP="00137E10">
      <w:pPr>
        <w:spacing w:line="560" w:lineRule="exact"/>
        <w:ind w:firstLineChars="200" w:firstLine="600"/>
        <w:rPr>
          <w:rFonts w:ascii="仿宋_GB2312" w:eastAsia="仿宋_GB2312" w:hAnsi="Times New Roman"/>
          <w:sz w:val="30"/>
          <w:szCs w:val="30"/>
        </w:rPr>
      </w:pPr>
      <w:r w:rsidRPr="00667D50">
        <w:rPr>
          <w:rFonts w:ascii="仿宋_GB2312" w:eastAsia="仿宋_GB2312" w:hAnsi="Times New Roman" w:hint="eastAsia"/>
          <w:sz w:val="30"/>
          <w:szCs w:val="30"/>
        </w:rPr>
        <w:t>集合匹配期间未成交的交易申报，自动进入连续匹配。</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采用匹配成交方式的，可以采用限价申报或者本所认可的其他申报类型。</w:t>
      </w:r>
    </w:p>
    <w:p w:rsidR="00137E10" w:rsidRPr="00667D50" w:rsidRDefault="00137E10" w:rsidP="00137E10">
      <w:pPr>
        <w:pStyle w:val="a6"/>
        <w:ind w:firstLine="600"/>
        <w:rPr>
          <w:rFonts w:hAnsi="Times New Roman"/>
          <w:sz w:val="30"/>
          <w:szCs w:val="30"/>
        </w:rPr>
      </w:pPr>
      <w:r w:rsidRPr="00667D50">
        <w:rPr>
          <w:rFonts w:hAnsi="Times New Roman" w:hint="eastAsia"/>
          <w:sz w:val="30"/>
          <w:szCs w:val="30"/>
        </w:rPr>
        <w:t>限价申报按照优于或者等于限定的价格进行债券交易。</w:t>
      </w:r>
    </w:p>
    <w:p w:rsidR="00137E10" w:rsidRPr="00287CDF"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287CDF">
        <w:rPr>
          <w:rFonts w:ascii="仿宋_GB2312" w:eastAsia="仿宋_GB2312" w:hAnsi="Times New Roman" w:hint="eastAsia"/>
          <w:color w:val="000000"/>
          <w:sz w:val="30"/>
          <w:szCs w:val="30"/>
        </w:rPr>
        <w:t>限价申报要素应当包括证券代码、交易方向、价格、数量、证券账户号码等内容。</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集合匹配阶段，债券的有效申报价格范围为前收盘价的上下30%，债券通用质押式回购的有效申报价格范围为前收盘价的上下</w:t>
      </w:r>
      <w:r w:rsidRPr="00667D50">
        <w:rPr>
          <w:rFonts w:ascii="仿宋_GB2312" w:eastAsia="仿宋_GB2312" w:hAnsi="Times New Roman"/>
          <w:sz w:val="30"/>
          <w:szCs w:val="30"/>
        </w:rPr>
        <w:t>100%</w:t>
      </w:r>
      <w:r w:rsidRPr="00667D50">
        <w:rPr>
          <w:rFonts w:ascii="仿宋_GB2312" w:eastAsia="仿宋_GB2312" w:hAnsi="Times New Roman" w:hint="eastAsia"/>
          <w:color w:val="000000"/>
          <w:sz w:val="30"/>
          <w:szCs w:val="30"/>
        </w:rPr>
        <w:t>。本所另有规定的除外。</w:t>
      </w:r>
    </w:p>
    <w:p w:rsidR="00137E10" w:rsidRPr="00667D50" w:rsidRDefault="00137E10" w:rsidP="00137E10">
      <w:pPr>
        <w:spacing w:line="560" w:lineRule="exact"/>
        <w:ind w:firstLineChars="200" w:firstLine="600"/>
        <w:rPr>
          <w:rFonts w:ascii="仿宋_GB2312" w:eastAsia="仿宋_GB2312" w:hAnsi="Times New Roman"/>
          <w:sz w:val="30"/>
          <w:szCs w:val="30"/>
        </w:rPr>
      </w:pPr>
      <w:r w:rsidRPr="00667D50">
        <w:rPr>
          <w:rFonts w:ascii="仿宋_GB2312" w:eastAsia="仿宋_GB2312" w:hAnsi="Times New Roman" w:hint="eastAsia"/>
          <w:sz w:val="30"/>
          <w:szCs w:val="30"/>
        </w:rPr>
        <w:t>债券上市首日，以该债券的发行价格作为前收盘价。</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lastRenderedPageBreak/>
        <w:t>连续匹配阶段，政府债券、政府支持债券、政策性金融债等的有效申报价格范围为匹配成交最新成交价格的上下10%，其他债券的有效申报价格范围为匹配成交最新成交价格的上下20%，债券通用质押式回购的有效申报价格不得高于匹配成交最新成交价格100个基点。本所另有规定的除外。</w:t>
      </w:r>
    </w:p>
    <w:p w:rsidR="00137E10" w:rsidRPr="00667D50" w:rsidRDefault="00137E10" w:rsidP="00137E10">
      <w:pPr>
        <w:spacing w:line="560" w:lineRule="exact"/>
        <w:ind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债券在集合匹配阶段、连续匹配阶段没有达成交易的，连续匹配阶段按照下列方式调整有效申报价格范围：最高买入申报价格高于前收盘价的，以最高买入申报价格为基准调整有效申报价格范围；最低卖出申报价格低于前收盘价的，以最低卖出申报价格为基准调整有效申报价格范围。</w:t>
      </w:r>
    </w:p>
    <w:p w:rsidR="00137E10" w:rsidRPr="00667D50" w:rsidRDefault="00137E10" w:rsidP="00137E10">
      <w:pPr>
        <w:spacing w:line="560" w:lineRule="exact"/>
        <w:ind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当日无交易的，前收盘价视为最新成交价格。</w:t>
      </w:r>
    </w:p>
    <w:p w:rsidR="00137E10" w:rsidRPr="00667D50" w:rsidRDefault="00137E10" w:rsidP="00137E10">
      <w:pPr>
        <w:spacing w:line="560" w:lineRule="exact"/>
        <w:ind w:firstLineChars="200" w:firstLine="600"/>
        <w:rPr>
          <w:rFonts w:ascii="仿宋_GB2312" w:eastAsia="仿宋_GB2312" w:hAnsi="Times New Roman"/>
          <w:sz w:val="30"/>
          <w:szCs w:val="30"/>
        </w:rPr>
      </w:pPr>
      <w:r w:rsidRPr="00667D50">
        <w:rPr>
          <w:rFonts w:ascii="仿宋_GB2312" w:eastAsia="仿宋_GB2312" w:hAnsi="Times New Roman" w:hint="eastAsia"/>
          <w:sz w:val="30"/>
          <w:szCs w:val="30"/>
        </w:rPr>
        <w:t>根据市场发展需要，本所可以调整有效申报价格范围。</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集合匹配时，成交价格的确定原则为：</w:t>
      </w:r>
    </w:p>
    <w:p w:rsidR="00137E10" w:rsidRPr="00667D50" w:rsidRDefault="00137E10" w:rsidP="00137E10">
      <w:pPr>
        <w:pStyle w:val="a6"/>
        <w:numPr>
          <w:ilvl w:val="0"/>
          <w:numId w:val="15"/>
        </w:numPr>
        <w:ind w:left="0" w:firstLine="600"/>
        <w:rPr>
          <w:rFonts w:hAnsi="Times New Roman"/>
          <w:sz w:val="30"/>
          <w:szCs w:val="30"/>
        </w:rPr>
      </w:pPr>
      <w:r w:rsidRPr="00667D50">
        <w:rPr>
          <w:rFonts w:hAnsi="Times New Roman" w:hint="eastAsia"/>
          <w:sz w:val="30"/>
          <w:szCs w:val="30"/>
        </w:rPr>
        <w:t>可实现最大成交量的价格；</w:t>
      </w:r>
    </w:p>
    <w:p w:rsidR="00137E10" w:rsidRPr="00667D50" w:rsidRDefault="00137E10" w:rsidP="00137E10">
      <w:pPr>
        <w:pStyle w:val="a6"/>
        <w:numPr>
          <w:ilvl w:val="0"/>
          <w:numId w:val="15"/>
        </w:numPr>
        <w:ind w:left="0" w:firstLine="600"/>
        <w:rPr>
          <w:rFonts w:hAnsi="Times New Roman"/>
          <w:sz w:val="30"/>
          <w:szCs w:val="30"/>
        </w:rPr>
      </w:pPr>
      <w:r w:rsidRPr="00667D50">
        <w:rPr>
          <w:rFonts w:hAnsi="Times New Roman" w:hint="eastAsia"/>
          <w:sz w:val="30"/>
          <w:szCs w:val="30"/>
        </w:rPr>
        <w:t>高于该价格的买入申报与低于该价格的卖出申报全部成交的价格；</w:t>
      </w:r>
    </w:p>
    <w:p w:rsidR="00137E10" w:rsidRPr="00667D50" w:rsidRDefault="00137E10" w:rsidP="00137E10">
      <w:pPr>
        <w:pStyle w:val="a6"/>
        <w:numPr>
          <w:ilvl w:val="0"/>
          <w:numId w:val="15"/>
        </w:numPr>
        <w:ind w:left="0" w:firstLine="600"/>
        <w:rPr>
          <w:rFonts w:hAnsi="Times New Roman"/>
          <w:sz w:val="30"/>
          <w:szCs w:val="30"/>
        </w:rPr>
      </w:pPr>
      <w:r w:rsidRPr="00667D50">
        <w:rPr>
          <w:rFonts w:hAnsi="Times New Roman" w:hint="eastAsia"/>
          <w:sz w:val="30"/>
          <w:szCs w:val="30"/>
        </w:rPr>
        <w:t>与该价格相同的买方或者卖方至少有一方全部成交的价格。</w:t>
      </w:r>
    </w:p>
    <w:p w:rsidR="00137E10" w:rsidRPr="00667D50" w:rsidRDefault="00137E10" w:rsidP="00137E10">
      <w:pPr>
        <w:spacing w:line="560" w:lineRule="exact"/>
        <w:ind w:firstLineChars="200" w:firstLine="600"/>
        <w:rPr>
          <w:rFonts w:ascii="仿宋_GB2312" w:eastAsia="仿宋_GB2312" w:hAnsi="Times New Roman"/>
          <w:sz w:val="30"/>
          <w:szCs w:val="30"/>
        </w:rPr>
      </w:pPr>
      <w:r w:rsidRPr="00667D50">
        <w:rPr>
          <w:rFonts w:ascii="仿宋_GB2312" w:eastAsia="仿宋_GB2312" w:hAnsi="Times New Roman" w:hint="eastAsia"/>
          <w:sz w:val="30"/>
          <w:szCs w:val="30"/>
        </w:rPr>
        <w:t>两个以上申报价格符合上述条件的，使未成交量最小的申报价格为成交价格；仍有两个以上使未成交量最小的申报价格符合上述条件的，其中间价为成交价格。</w:t>
      </w:r>
    </w:p>
    <w:p w:rsidR="00137E10" w:rsidRPr="00667D50" w:rsidRDefault="00137E10" w:rsidP="00137E10">
      <w:pPr>
        <w:spacing w:line="560" w:lineRule="exact"/>
        <w:ind w:firstLineChars="200" w:firstLine="600"/>
        <w:rPr>
          <w:rFonts w:ascii="仿宋_GB2312" w:eastAsia="仿宋_GB2312" w:hAnsi="Times New Roman"/>
          <w:sz w:val="30"/>
          <w:szCs w:val="30"/>
        </w:rPr>
      </w:pPr>
      <w:r w:rsidRPr="00667D50">
        <w:rPr>
          <w:rFonts w:ascii="仿宋_GB2312" w:eastAsia="仿宋_GB2312" w:hAnsi="Times New Roman" w:hint="eastAsia"/>
          <w:sz w:val="30"/>
          <w:szCs w:val="30"/>
        </w:rPr>
        <w:t>集合匹配阶段的所有交易以同一价格成交。</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连续匹配时，成交价格的确定原则为：</w:t>
      </w:r>
    </w:p>
    <w:p w:rsidR="00137E10" w:rsidRPr="00667D50" w:rsidRDefault="00137E10" w:rsidP="00137E10">
      <w:pPr>
        <w:pStyle w:val="a6"/>
        <w:numPr>
          <w:ilvl w:val="0"/>
          <w:numId w:val="24"/>
        </w:numPr>
        <w:ind w:left="0" w:firstLineChars="0" w:firstLine="567"/>
        <w:rPr>
          <w:rFonts w:hAnsi="Times New Roman"/>
          <w:sz w:val="30"/>
          <w:szCs w:val="30"/>
        </w:rPr>
      </w:pPr>
      <w:r w:rsidRPr="00667D50">
        <w:rPr>
          <w:rFonts w:hAnsi="Times New Roman" w:hint="eastAsia"/>
          <w:sz w:val="30"/>
          <w:szCs w:val="30"/>
        </w:rPr>
        <w:t>最高买入申报价格与最低卖出申报价格相同，以该</w:t>
      </w:r>
      <w:r w:rsidRPr="00667D50">
        <w:rPr>
          <w:rFonts w:hAnsi="Times New Roman" w:hint="eastAsia"/>
          <w:sz w:val="30"/>
          <w:szCs w:val="30"/>
        </w:rPr>
        <w:lastRenderedPageBreak/>
        <w:t>价格为成交价格；</w:t>
      </w:r>
    </w:p>
    <w:p w:rsidR="00137E10" w:rsidRPr="00667D50" w:rsidRDefault="00137E10" w:rsidP="00137E10">
      <w:pPr>
        <w:pStyle w:val="a6"/>
        <w:numPr>
          <w:ilvl w:val="0"/>
          <w:numId w:val="24"/>
        </w:numPr>
        <w:ind w:left="0" w:firstLineChars="0" w:firstLine="567"/>
        <w:rPr>
          <w:rFonts w:hAnsi="Times New Roman"/>
          <w:sz w:val="30"/>
          <w:szCs w:val="30"/>
        </w:rPr>
      </w:pPr>
      <w:r w:rsidRPr="00667D50">
        <w:rPr>
          <w:rFonts w:hAnsi="Times New Roman" w:hint="eastAsia"/>
          <w:sz w:val="30"/>
          <w:szCs w:val="30"/>
        </w:rPr>
        <w:t>买入申报价格高于即时揭示的最低卖出申报价格的，以即时揭示的最低卖出申报价格为成交价格；</w:t>
      </w:r>
    </w:p>
    <w:p w:rsidR="00137E10" w:rsidRPr="00667D50" w:rsidRDefault="00137E10" w:rsidP="00137E10">
      <w:pPr>
        <w:pStyle w:val="a6"/>
        <w:numPr>
          <w:ilvl w:val="0"/>
          <w:numId w:val="24"/>
        </w:numPr>
        <w:ind w:left="0" w:firstLineChars="0" w:firstLine="567"/>
        <w:rPr>
          <w:rFonts w:hAnsi="Times New Roman"/>
          <w:sz w:val="30"/>
          <w:szCs w:val="30"/>
        </w:rPr>
      </w:pPr>
      <w:r w:rsidRPr="00667D50">
        <w:rPr>
          <w:rFonts w:hAnsi="Times New Roman" w:hint="eastAsia"/>
          <w:sz w:val="30"/>
          <w:szCs w:val="30"/>
        </w:rPr>
        <w:t>卖出申报价格低于即时揭示的最高买入申报价格的，以即时揭示的最高买入申报价格为成交价格。</w:t>
      </w:r>
    </w:p>
    <w:p w:rsidR="00137E10" w:rsidRPr="00287CDF"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287CDF">
        <w:rPr>
          <w:rFonts w:ascii="仿宋_GB2312" w:eastAsia="仿宋_GB2312" w:hAnsi="Times New Roman" w:hint="eastAsia"/>
          <w:color w:val="000000"/>
          <w:sz w:val="30"/>
          <w:szCs w:val="30"/>
        </w:rPr>
        <w:t>每个交易日9:20至9:25的开盘集合匹配阶段，交易系统不接受匹配成交的撤销申报。其他接受申报的时间内，未成交的申报可以撤销。</w:t>
      </w:r>
    </w:p>
    <w:p w:rsidR="00137E10" w:rsidRPr="00667D50" w:rsidRDefault="00137E10" w:rsidP="00137E10">
      <w:pPr>
        <w:pStyle w:val="2"/>
        <w:keepNext w:val="0"/>
        <w:keepLines w:val="0"/>
        <w:numPr>
          <w:ilvl w:val="0"/>
          <w:numId w:val="14"/>
        </w:numPr>
        <w:spacing w:before="0" w:after="0" w:line="560" w:lineRule="exact"/>
        <w:jc w:val="center"/>
        <w:rPr>
          <w:rFonts w:ascii="仿宋_GB2312" w:eastAsia="仿宋_GB2312" w:hAnsi="Times New Roman"/>
          <w:color w:val="000000"/>
          <w:sz w:val="30"/>
          <w:szCs w:val="30"/>
        </w:rPr>
      </w:pPr>
      <w:bookmarkStart w:id="102" w:name="_Toc12545684"/>
      <w:bookmarkStart w:id="103" w:name="_Toc12545555"/>
      <w:bookmarkStart w:id="104" w:name="_Toc27643091"/>
      <w:bookmarkEnd w:id="102"/>
      <w:bookmarkEnd w:id="103"/>
      <w:r w:rsidRPr="00667D50">
        <w:rPr>
          <w:rFonts w:ascii="仿宋_GB2312" w:eastAsia="仿宋_GB2312" w:hAnsi="Times New Roman" w:hint="eastAsia"/>
          <w:color w:val="000000"/>
          <w:sz w:val="30"/>
          <w:szCs w:val="30"/>
        </w:rPr>
        <w:t>点击成交</w:t>
      </w:r>
      <w:bookmarkEnd w:id="104"/>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点击成交是指报价方发出报价，相关报价经其他债券投资者点击后由交易系统确认成交，或者依据本规则相关规定通过交易系统自动匹配成交的交易方式。</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采用点击成交方式的，报价方可以向全市场发出报价，也可以向报价方自行选定的部分债券投资者发出报价。</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报价方发出的报价要素应当包括交易品种、交易方向、价格、申报数量、发送范围、报价方证券账户号码、结算方式、结算周期、是否匿名等内容。</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报价方发出报价时，可以设置申报数量全额成交要求。</w:t>
      </w:r>
    </w:p>
    <w:p w:rsidR="00137E10" w:rsidRPr="00667D50" w:rsidRDefault="00137E10" w:rsidP="00137E10">
      <w:pPr>
        <w:pStyle w:val="a6"/>
        <w:ind w:firstLine="600"/>
        <w:rPr>
          <w:rFonts w:hAnsi="Times New Roman"/>
          <w:sz w:val="30"/>
          <w:szCs w:val="30"/>
        </w:rPr>
      </w:pPr>
      <w:r w:rsidRPr="00667D50">
        <w:rPr>
          <w:rFonts w:hAnsi="Times New Roman" w:hint="eastAsia"/>
          <w:sz w:val="30"/>
          <w:szCs w:val="30"/>
        </w:rPr>
        <w:t>全额成交是</w:t>
      </w:r>
      <w:r w:rsidRPr="00667D50">
        <w:rPr>
          <w:rFonts w:hAnsi="Times New Roman" w:hint="eastAsia"/>
          <w:color w:val="000000"/>
          <w:sz w:val="30"/>
          <w:szCs w:val="30"/>
        </w:rPr>
        <w:t>指相关报价仅在全部申报数量经点击方一次性点击接受的情形下方可确认成交，不接受部分成交</w:t>
      </w:r>
      <w:r w:rsidRPr="00667D50">
        <w:rPr>
          <w:rFonts w:hAnsi="Times New Roman" w:hint="eastAsia"/>
          <w:sz w:val="30"/>
          <w:szCs w:val="30"/>
        </w:rPr>
        <w:t>。</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报价方可以在发出报价时设置每次仅显示部分申报数量（以下简称显示数量）。显示数量的设置应当符合本规则第五十三条关于点击成交方式申报数量的相关规定。</w:t>
      </w:r>
    </w:p>
    <w:p w:rsidR="00137E10" w:rsidRPr="00667D50" w:rsidRDefault="00137E10" w:rsidP="00137E10">
      <w:pPr>
        <w:pStyle w:val="a5"/>
        <w:widowControl w:val="0"/>
        <w:numPr>
          <w:ilvl w:val="255"/>
          <w:numId w:val="0"/>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lastRenderedPageBreak/>
        <w:t>每次成交数量不得超过显示数量。前次显示数量全部成交后，继续显示剩余申报数量与显示数量的孰低值，直至申报数量完全显示并成交。</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点击方在点击相关报价时，应当输入拟接受的申报数量（以下简称点击数量）。点击数量应当符合本规则第五十三条、第七十九条和第八十条的相关规定。</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相关交易按照点击数量以及报价方所报价格、结算方式、结算周期等其他报价要素成交。</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报价方发出报价后，可以修改未成交部分的价格和数量等报价要素。</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结算方式为多边净额结算，并且符合以下条件的报价，报价方可以选择在本所连续匹配阶段的整时点按照连续匹配的相关规定参与限价申报的匹配成交：</w:t>
      </w:r>
    </w:p>
    <w:p w:rsidR="00137E10" w:rsidRPr="00667D50" w:rsidRDefault="00137E10" w:rsidP="00137E10">
      <w:pPr>
        <w:pStyle w:val="a6"/>
        <w:numPr>
          <w:ilvl w:val="0"/>
          <w:numId w:val="25"/>
        </w:numPr>
        <w:ind w:firstLineChars="0" w:hanging="453"/>
        <w:rPr>
          <w:rFonts w:hAnsi="Times New Roman"/>
          <w:sz w:val="30"/>
          <w:szCs w:val="30"/>
        </w:rPr>
      </w:pPr>
      <w:r w:rsidRPr="00667D50">
        <w:rPr>
          <w:rFonts w:hAnsi="Times New Roman" w:hint="eastAsia"/>
          <w:sz w:val="30"/>
          <w:szCs w:val="30"/>
        </w:rPr>
        <w:t>报价面向全市场发送；</w:t>
      </w:r>
    </w:p>
    <w:p w:rsidR="00137E10" w:rsidRPr="00667D50" w:rsidRDefault="00137E10" w:rsidP="00137E10">
      <w:pPr>
        <w:pStyle w:val="a6"/>
        <w:numPr>
          <w:ilvl w:val="0"/>
          <w:numId w:val="25"/>
        </w:numPr>
        <w:ind w:firstLineChars="0" w:hanging="453"/>
        <w:rPr>
          <w:rFonts w:hAnsi="Times New Roman"/>
          <w:sz w:val="30"/>
          <w:szCs w:val="30"/>
        </w:rPr>
      </w:pPr>
      <w:r w:rsidRPr="00667D50">
        <w:rPr>
          <w:rFonts w:hAnsi="Times New Roman" w:hint="eastAsia"/>
          <w:sz w:val="30"/>
          <w:szCs w:val="30"/>
        </w:rPr>
        <w:t>申报价格、申报数量符合匹配成交的相关规定；</w:t>
      </w:r>
    </w:p>
    <w:p w:rsidR="00137E10" w:rsidRPr="00667D50" w:rsidRDefault="00137E10" w:rsidP="00137E10">
      <w:pPr>
        <w:pStyle w:val="a6"/>
        <w:numPr>
          <w:ilvl w:val="0"/>
          <w:numId w:val="25"/>
        </w:numPr>
        <w:ind w:firstLineChars="0" w:hanging="453"/>
        <w:rPr>
          <w:rFonts w:hAnsi="Times New Roman"/>
          <w:sz w:val="30"/>
          <w:szCs w:val="30"/>
        </w:rPr>
      </w:pPr>
      <w:r w:rsidRPr="00667D50">
        <w:rPr>
          <w:rFonts w:hAnsi="Times New Roman" w:hint="eastAsia"/>
          <w:sz w:val="30"/>
          <w:szCs w:val="30"/>
        </w:rPr>
        <w:t>未设置全额成交要求；</w:t>
      </w:r>
    </w:p>
    <w:p w:rsidR="00137E10" w:rsidRPr="00667D50" w:rsidRDefault="00137E10" w:rsidP="00137E10">
      <w:pPr>
        <w:pStyle w:val="a6"/>
        <w:numPr>
          <w:ilvl w:val="0"/>
          <w:numId w:val="25"/>
        </w:numPr>
        <w:ind w:firstLineChars="0" w:hanging="453"/>
        <w:rPr>
          <w:rFonts w:hAnsi="Times New Roman"/>
          <w:sz w:val="30"/>
          <w:szCs w:val="30"/>
        </w:rPr>
      </w:pPr>
      <w:r w:rsidRPr="00667D50">
        <w:rPr>
          <w:rFonts w:hAnsi="Times New Roman" w:hint="eastAsia"/>
          <w:sz w:val="30"/>
          <w:szCs w:val="30"/>
        </w:rPr>
        <w:t>本所规定的其他条件。</w:t>
      </w:r>
    </w:p>
    <w:p w:rsidR="00137E10" w:rsidRPr="00667D50" w:rsidRDefault="00137E10" w:rsidP="00137E10">
      <w:pPr>
        <w:pStyle w:val="2"/>
        <w:keepNext w:val="0"/>
        <w:keepLines w:val="0"/>
        <w:numPr>
          <w:ilvl w:val="0"/>
          <w:numId w:val="14"/>
        </w:numPr>
        <w:spacing w:before="0" w:after="0" w:line="560" w:lineRule="exact"/>
        <w:jc w:val="center"/>
        <w:rPr>
          <w:rFonts w:ascii="仿宋_GB2312" w:eastAsia="仿宋_GB2312" w:hAnsi="Times New Roman"/>
          <w:color w:val="000000"/>
          <w:sz w:val="30"/>
          <w:szCs w:val="30"/>
        </w:rPr>
      </w:pPr>
      <w:bookmarkStart w:id="105" w:name="_Toc24025956"/>
      <w:bookmarkStart w:id="106" w:name="_Toc27643092"/>
      <w:bookmarkEnd w:id="105"/>
      <w:r w:rsidRPr="00667D50">
        <w:rPr>
          <w:rFonts w:ascii="仿宋_GB2312" w:eastAsia="仿宋_GB2312" w:hAnsi="Times New Roman" w:hint="eastAsia"/>
          <w:color w:val="000000"/>
          <w:sz w:val="30"/>
          <w:szCs w:val="30"/>
        </w:rPr>
        <w:t>询价成交</w:t>
      </w:r>
      <w:bookmarkEnd w:id="106"/>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询价成交是指询价方向做市商或者其他债券交易参与人发送询价请求，并选择一个或者多个询价回复确认成交的交易方式。</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债券投资者可以向做市商或者其他债券交易参与人发送询价请求。询价请求要素应当包括交易品种、交易方向、数量、发送范围、询价方证券账户号码、结算方式、结算周期、</w:t>
      </w:r>
      <w:r w:rsidRPr="00667D50">
        <w:rPr>
          <w:rFonts w:ascii="仿宋_GB2312" w:eastAsia="仿宋_GB2312" w:hAnsi="Times New Roman" w:hint="eastAsia"/>
          <w:color w:val="000000"/>
          <w:sz w:val="30"/>
          <w:szCs w:val="30"/>
        </w:rPr>
        <w:lastRenderedPageBreak/>
        <w:t>是否匿名等内容。</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被询价方针对询价请求进行回复。询价回复的要素应当包括价格、数量、被询价方证券账户号码等内容。</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询价方选择询价回复并确认后，相关交易按照询价方确认的数量、价格、结算方式与结算周期成交。</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询价方可以撤销未成交的询价请求，被询价方可以撤销未成交的询价回复。询价请求被撤销后，针对该询价的回复也随之自动撤销。</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债券投资者可以向全市场或者部分债券投资者发送意向申报，意向申报不可直接确认成交。其他债券投资者可以通过询价成交、协商成交等方式与意向申报发出方达成交易。</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意向申报要素应当包括交易品种、交易方向、发送范围、证券账户号码、是否匿名等内容。</w:t>
      </w:r>
    </w:p>
    <w:p w:rsidR="00137E10" w:rsidRPr="00667D50" w:rsidRDefault="00137E10" w:rsidP="00137E10">
      <w:pPr>
        <w:pStyle w:val="2"/>
        <w:keepNext w:val="0"/>
        <w:keepLines w:val="0"/>
        <w:numPr>
          <w:ilvl w:val="0"/>
          <w:numId w:val="14"/>
        </w:numPr>
        <w:spacing w:before="0" w:after="0" w:line="560" w:lineRule="exact"/>
        <w:jc w:val="center"/>
        <w:rPr>
          <w:rFonts w:ascii="仿宋_GB2312" w:eastAsia="仿宋_GB2312" w:hAnsi="Times New Roman"/>
          <w:color w:val="000000"/>
          <w:sz w:val="30"/>
          <w:szCs w:val="30"/>
        </w:rPr>
      </w:pPr>
      <w:bookmarkStart w:id="107" w:name="_Toc24638122"/>
      <w:bookmarkStart w:id="108" w:name="_Toc18595397"/>
      <w:bookmarkEnd w:id="107"/>
      <w:bookmarkEnd w:id="108"/>
      <w:r w:rsidRPr="00667D50">
        <w:rPr>
          <w:rFonts w:ascii="仿宋_GB2312" w:eastAsia="仿宋_GB2312" w:hAnsi="Times New Roman" w:hint="eastAsia"/>
          <w:color w:val="000000"/>
          <w:sz w:val="30"/>
          <w:szCs w:val="30"/>
        </w:rPr>
        <w:t>竞买成交</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竞买成交是指卖方在限定时间内按照确定的竞买成交规则，将债券出售给最优应价的</w:t>
      </w:r>
      <w:r w:rsidRPr="00667D50">
        <w:rPr>
          <w:rFonts w:ascii="仿宋_GB2312" w:eastAsia="仿宋_GB2312" w:hAnsi="Times New Roman" w:hint="eastAsia"/>
          <w:sz w:val="30"/>
          <w:szCs w:val="30"/>
        </w:rPr>
        <w:t>单个或者多个应价方的交易方式。</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竞买成交可以采用单一主体中标、多主体中标等方式。</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采用单一主体中标方式的，由最优出价的应价方按照其应价价格、该笔竞买的全部申报数量成交。</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多主体中标方式包括单一价格中标、多重价格中标等方式。采用单一价格中标方式的，所有中标的应价申报都以边际价格成交。采用多重价格中标方式的，所有中标的应价申报都以其各自</w:t>
      </w:r>
      <w:r w:rsidRPr="00667D50">
        <w:rPr>
          <w:rFonts w:ascii="仿宋_GB2312" w:eastAsia="仿宋_GB2312" w:hAnsi="Times New Roman" w:hint="eastAsia"/>
          <w:color w:val="000000"/>
          <w:sz w:val="30"/>
          <w:szCs w:val="30"/>
        </w:rPr>
        <w:lastRenderedPageBreak/>
        <w:t>的应价价格成交。</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卖方应当向本所提前预约竞买，并确定竞买日。竞买预约要素应当包括以下内容：交易品种、价格区间、数量、竞买方式、竞买时间等。</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竞买日前，卖方应当根据预约情况通过本所向市场发布竞买要素信息，并结合自身需求做好投资者的组织工作，确保竞买平稳有序进行。</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竞买日前，卖方可以修改竞买预约要素或者取消竞买预约。</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卖方应当于竞买日通过交易系统提交竞买发起申报，竞买发起申报的提交时间应当符合本规则第四十三条的相关规定。竞买发起申报要素应当包括竞买方式、交易品种、价格区间、数量、最低成交总量（如有）、卖方证券账户号码、结算方式、结算周期、是否匿名等。</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竞买发起申报要素原则上应当与对应竞买预约的相关要素一致。</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在应价申报时间内，债券投资者可以作为应价方提交应价申报。应价申报要素应当包括交易品种、价格、数量、应价方证券账户号码、是否匿名等内容。</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bookmarkStart w:id="109" w:name="_Toc12360751"/>
      <w:bookmarkStart w:id="110" w:name="_Toc13766985"/>
      <w:bookmarkStart w:id="111" w:name="_Toc12545687"/>
      <w:bookmarkStart w:id="112" w:name="_Toc13766986"/>
      <w:bookmarkStart w:id="113" w:name="_Toc12545558"/>
      <w:bookmarkStart w:id="114" w:name="_Toc13766983"/>
      <w:bookmarkStart w:id="115" w:name="_Toc13766984"/>
      <w:bookmarkStart w:id="116" w:name="_Toc12360841"/>
      <w:bookmarkStart w:id="117" w:name="_Toc13766982"/>
      <w:bookmarkEnd w:id="109"/>
      <w:bookmarkEnd w:id="110"/>
      <w:bookmarkEnd w:id="111"/>
      <w:bookmarkEnd w:id="112"/>
      <w:bookmarkEnd w:id="113"/>
      <w:bookmarkEnd w:id="114"/>
      <w:bookmarkEnd w:id="115"/>
      <w:bookmarkEnd w:id="116"/>
      <w:bookmarkEnd w:id="117"/>
      <w:r w:rsidRPr="00667D50">
        <w:rPr>
          <w:rFonts w:ascii="仿宋_GB2312" w:eastAsia="仿宋_GB2312" w:hAnsi="Times New Roman" w:hint="eastAsia"/>
          <w:color w:val="000000"/>
          <w:sz w:val="30"/>
          <w:szCs w:val="30"/>
        </w:rPr>
        <w:t>在应价申报时间截止后，交易系统按照竞买方式对应的成交规则计算成交价格和成交数量，生成成交信息。</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采用单一主体中标方式的，由最优出价的应价方按照该笔竞买的全部数量成交。若最优出价存在多笔应价申报的，按照时间优先原则成交。</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采用多主体中标方式的，交易系统将各有效应价申报按照价</w:t>
      </w:r>
      <w:r w:rsidRPr="00667D50">
        <w:rPr>
          <w:rFonts w:ascii="仿宋_GB2312" w:eastAsia="仿宋_GB2312" w:hAnsi="Times New Roman" w:hint="eastAsia"/>
          <w:color w:val="000000"/>
          <w:sz w:val="30"/>
          <w:szCs w:val="30"/>
        </w:rPr>
        <w:lastRenderedPageBreak/>
        <w:t>格从优到劣排序，并汇总应价申报累计数量。应价申报累计数量未达到最低成交总量的，所有应价申报均不能成交。应价申报累计数量不低于最低成交总量但未达到竞买总量的，应价申报的最低价格为边际价格，全部应价申报均按照其申报数量成交。应价申报累计数量达到竞买总量的，以达到竞买总量的价格为边际价格。价格优于边际价格的应价申报全部成交，成交数量为相关应价申报数量。价格等于边际价格的应价申报部分或者全部成交，成交数量以各应价申报数量为权重按照舍去法进行边际中标量的初次分配；初次分配完成后，若有剩余尾量，则遵循时间优先原则进行尾量分配。</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竞买完成后，本所及时发布竞买结果信息。</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采用单一主体中标方式的，发布中标量、中标价格等信息。</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采用多主体中标方式的，发布中标量、边际价格等信息。</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在应价方提交有效的应价申报前，卖方申请并经本所认可后，可以撤销竞买发起申报。</w:t>
      </w:r>
    </w:p>
    <w:p w:rsidR="00137E10" w:rsidRPr="00667D50" w:rsidRDefault="00137E10" w:rsidP="00137E10">
      <w:pPr>
        <w:pStyle w:val="a6"/>
        <w:ind w:firstLine="600"/>
        <w:rPr>
          <w:rFonts w:hAnsi="Times New Roman"/>
          <w:sz w:val="30"/>
          <w:szCs w:val="30"/>
        </w:rPr>
      </w:pPr>
      <w:r w:rsidRPr="00667D50">
        <w:rPr>
          <w:rFonts w:hAnsi="Times New Roman" w:hint="eastAsia"/>
          <w:color w:val="000000"/>
          <w:sz w:val="30"/>
          <w:szCs w:val="30"/>
        </w:rPr>
        <w:t>采用单一主体中标方式</w:t>
      </w:r>
      <w:r w:rsidRPr="00667D50">
        <w:rPr>
          <w:rFonts w:hAnsi="Times New Roman" w:hint="eastAsia"/>
          <w:sz w:val="30"/>
          <w:szCs w:val="30"/>
        </w:rPr>
        <w:t>的，应价申报不可撤销。采用多主体中标方式的，应价申报可以在应价申报时间截止前撤销。</w:t>
      </w:r>
    </w:p>
    <w:p w:rsidR="00137E10" w:rsidRPr="00667D50" w:rsidRDefault="00137E10" w:rsidP="00137E10">
      <w:pPr>
        <w:pStyle w:val="2"/>
        <w:keepNext w:val="0"/>
        <w:keepLines w:val="0"/>
        <w:numPr>
          <w:ilvl w:val="0"/>
          <w:numId w:val="14"/>
        </w:numPr>
        <w:spacing w:before="0" w:after="0" w:line="560" w:lineRule="exact"/>
        <w:jc w:val="center"/>
        <w:rPr>
          <w:rFonts w:ascii="仿宋_GB2312" w:eastAsia="仿宋_GB2312" w:hAnsi="Times New Roman"/>
          <w:color w:val="000000"/>
          <w:sz w:val="30"/>
          <w:szCs w:val="30"/>
        </w:rPr>
      </w:pPr>
      <w:bookmarkStart w:id="118" w:name="_Toc18410663"/>
      <w:bookmarkStart w:id="119" w:name="_Toc18410662"/>
      <w:bookmarkStart w:id="120" w:name="_Toc18410661"/>
      <w:bookmarkStart w:id="121" w:name="_Toc27643094"/>
      <w:bookmarkEnd w:id="118"/>
      <w:bookmarkEnd w:id="119"/>
      <w:bookmarkEnd w:id="120"/>
      <w:r w:rsidRPr="00667D50">
        <w:rPr>
          <w:rFonts w:ascii="仿宋_GB2312" w:eastAsia="仿宋_GB2312" w:hAnsi="Times New Roman" w:hint="eastAsia"/>
          <w:color w:val="000000"/>
          <w:sz w:val="30"/>
          <w:szCs w:val="30"/>
        </w:rPr>
        <w:t>协商成交</w:t>
      </w:r>
      <w:bookmarkEnd w:id="121"/>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协商成交是指债券投资者之间通过协商等方式达成债券交易意向，并向交易系统申报，经交易系统确认成交的交易方式。</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债券投资者可以按照法律、行政法规、部门规章、规范性文件和本规则相关规定及内部风险控制要求，委托居间服务机构或者自行寻找交易对手，按照债券交易成交原则就债</w:t>
      </w:r>
      <w:r w:rsidRPr="00667D50">
        <w:rPr>
          <w:rFonts w:ascii="仿宋_GB2312" w:eastAsia="仿宋_GB2312" w:hAnsi="Times New Roman" w:hint="eastAsia"/>
          <w:color w:val="000000"/>
          <w:sz w:val="30"/>
          <w:szCs w:val="30"/>
        </w:rPr>
        <w:lastRenderedPageBreak/>
        <w:t>券交易要素协商达成一致。</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协商成交的申报要素应当包括交易品种、交易方向、价格、数量、交易双方名称、证券账户号码、结算方式、结算周期等内容。</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协商成交交易按照双方协商一致的价格、数量、结算方式、结算周期等要素成交。交易一方将协商一致的交易要素通过交易系统发送给交易对手方，经交易对手方确认后，由交易系统确认成交。</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bookmarkStart w:id="122" w:name="_Toc1038835"/>
      <w:bookmarkStart w:id="123" w:name="_Toc1045266"/>
      <w:bookmarkStart w:id="124" w:name="_Toc1657013"/>
      <w:bookmarkStart w:id="125" w:name="_Toc1488569"/>
      <w:bookmarkStart w:id="126" w:name="_Toc969477"/>
      <w:bookmarkStart w:id="127" w:name="_Toc969387"/>
      <w:bookmarkStart w:id="128" w:name="_Toc969297"/>
      <w:bookmarkStart w:id="129" w:name="_Toc1655697"/>
      <w:bookmarkEnd w:id="122"/>
      <w:bookmarkEnd w:id="123"/>
      <w:bookmarkEnd w:id="124"/>
      <w:bookmarkEnd w:id="125"/>
      <w:bookmarkEnd w:id="126"/>
      <w:bookmarkEnd w:id="127"/>
      <w:bookmarkEnd w:id="128"/>
      <w:bookmarkEnd w:id="129"/>
      <w:r w:rsidRPr="00667D50">
        <w:rPr>
          <w:rFonts w:ascii="仿宋_GB2312" w:eastAsia="仿宋_GB2312" w:hAnsi="Times New Roman" w:hint="eastAsia"/>
          <w:color w:val="000000"/>
          <w:sz w:val="30"/>
          <w:szCs w:val="30"/>
        </w:rPr>
        <w:t>做市商或者本所认可的其他机构与不同对手方针对同一交易品种达成两笔数量相同但交易方向相反的交易意向的，可以将两笔交易合并向交易系统申报，申报要素应当符合本规则第一百条的规定。合并申报经前述两笔交易的对手方分别确认后，由交易系统确认成交。</w:t>
      </w:r>
    </w:p>
    <w:p w:rsidR="00137E10" w:rsidRPr="00667D50" w:rsidRDefault="00137E10" w:rsidP="00137E10">
      <w:pPr>
        <w:pStyle w:val="1"/>
        <w:keepNext w:val="0"/>
        <w:keepLines w:val="0"/>
        <w:numPr>
          <w:ilvl w:val="0"/>
          <w:numId w:val="1"/>
        </w:numPr>
        <w:spacing w:before="0" w:after="0" w:line="560" w:lineRule="exact"/>
        <w:ind w:left="748" w:hanging="748"/>
        <w:jc w:val="center"/>
        <w:rPr>
          <w:rFonts w:ascii="黑体" w:eastAsia="黑体" w:hAnsi="黑体"/>
          <w:sz w:val="30"/>
          <w:szCs w:val="30"/>
        </w:rPr>
      </w:pPr>
      <w:bookmarkStart w:id="130" w:name="_Toc12177965"/>
      <w:bookmarkStart w:id="131" w:name="_Toc12177964"/>
      <w:bookmarkStart w:id="132" w:name="_Toc12126816"/>
      <w:bookmarkStart w:id="133" w:name="_Toc12177948"/>
      <w:bookmarkStart w:id="134" w:name="_Toc12177936"/>
      <w:bookmarkStart w:id="135" w:name="_Toc12545711"/>
      <w:bookmarkStart w:id="136" w:name="_Toc12360860"/>
      <w:bookmarkStart w:id="137" w:name="_Toc12545575"/>
      <w:bookmarkStart w:id="138" w:name="_Toc12545582"/>
      <w:bookmarkStart w:id="139" w:name="_Toc12126803"/>
      <w:bookmarkStart w:id="140" w:name="_Toc12177975"/>
      <w:bookmarkStart w:id="141" w:name="_Toc12360755"/>
      <w:bookmarkStart w:id="142" w:name="_Toc12545593"/>
      <w:bookmarkStart w:id="143" w:name="_Toc12545722"/>
      <w:bookmarkStart w:id="144" w:name="_Toc12360785"/>
      <w:bookmarkStart w:id="145" w:name="_Toc12177938"/>
      <w:bookmarkStart w:id="146" w:name="_Toc12177941"/>
      <w:bookmarkStart w:id="147" w:name="_Toc12360877"/>
      <w:bookmarkStart w:id="148" w:name="_Toc12360780"/>
      <w:bookmarkStart w:id="149" w:name="_Toc12360770"/>
      <w:bookmarkStart w:id="150" w:name="_Toc12545578"/>
      <w:bookmarkStart w:id="151" w:name="_Toc12177966"/>
      <w:bookmarkStart w:id="152" w:name="_Toc12360862"/>
      <w:bookmarkStart w:id="153" w:name="_Toc12177937"/>
      <w:bookmarkStart w:id="154" w:name="_Toc12126819"/>
      <w:bookmarkStart w:id="155" w:name="_Toc12360773"/>
      <w:bookmarkStart w:id="156" w:name="_Toc12360864"/>
      <w:bookmarkStart w:id="157" w:name="_Toc12545706"/>
      <w:bookmarkStart w:id="158" w:name="_Toc12177946"/>
      <w:bookmarkStart w:id="159" w:name="_Toc12360791"/>
      <w:bookmarkStart w:id="160" w:name="_Toc12545592"/>
      <w:bookmarkStart w:id="161" w:name="_Toc12177949"/>
      <w:bookmarkStart w:id="162" w:name="_Toc12177962"/>
      <w:bookmarkStart w:id="163" w:name="_Toc12177973"/>
      <w:bookmarkStart w:id="164" w:name="_Toc12177963"/>
      <w:bookmarkStart w:id="165" w:name="_Toc12126818"/>
      <w:bookmarkStart w:id="166" w:name="_Toc12177943"/>
      <w:bookmarkStart w:id="167" w:name="_Toc12178398"/>
      <w:bookmarkStart w:id="168" w:name="_Toc12126813"/>
      <w:bookmarkStart w:id="169" w:name="_Toc12177960"/>
      <w:bookmarkStart w:id="170" w:name="_Toc12360858"/>
      <w:bookmarkStart w:id="171" w:name="_Toc12126815"/>
      <w:bookmarkStart w:id="172" w:name="_Toc12126814"/>
      <w:bookmarkStart w:id="173" w:name="_Toc12177953"/>
      <w:bookmarkStart w:id="174" w:name="_Toc12545563"/>
      <w:bookmarkStart w:id="175" w:name="_Toc12177950"/>
      <w:bookmarkStart w:id="176" w:name="_Toc12126820"/>
      <w:bookmarkStart w:id="177" w:name="_Toc12360863"/>
      <w:bookmarkStart w:id="178" w:name="_Toc12177961"/>
      <w:bookmarkStart w:id="179" w:name="_Toc12177940"/>
      <w:bookmarkStart w:id="180" w:name="_Toc12545566"/>
      <w:bookmarkStart w:id="181" w:name="_Toc12177972"/>
      <w:bookmarkStart w:id="182" w:name="_Toc12177942"/>
      <w:bookmarkStart w:id="183" w:name="_Toc12126806"/>
      <w:bookmarkStart w:id="184" w:name="_Toc12177944"/>
      <w:bookmarkStart w:id="185" w:name="_Toc12126821"/>
      <w:bookmarkStart w:id="186" w:name="_Toc12177969"/>
      <w:bookmarkStart w:id="187" w:name="_Toc12178397"/>
      <w:bookmarkStart w:id="188" w:name="_Toc12177933"/>
      <w:bookmarkStart w:id="189" w:name="_Toc12126808"/>
      <w:bookmarkStart w:id="190" w:name="_Toc12545710"/>
      <w:bookmarkStart w:id="191" w:name="_Toc12360758"/>
      <w:bookmarkStart w:id="192" w:name="_Toc12177959"/>
      <w:bookmarkStart w:id="193" w:name="_Toc12545561"/>
      <w:bookmarkStart w:id="194" w:name="_Toc12126817"/>
      <w:bookmarkStart w:id="195" w:name="_Toc12177976"/>
      <w:bookmarkStart w:id="196" w:name="_Toc12545594"/>
      <w:bookmarkStart w:id="197" w:name="_Toc12126807"/>
      <w:bookmarkStart w:id="198" w:name="_Toc12360789"/>
      <w:bookmarkStart w:id="199" w:name="_Toc12360876"/>
      <w:bookmarkStart w:id="200" w:name="_Toc12360881"/>
      <w:bookmarkStart w:id="201" w:name="_Toc12360848"/>
      <w:bookmarkStart w:id="202" w:name="_Toc12177932"/>
      <w:bookmarkStart w:id="203" w:name="_Toc12360845"/>
      <w:bookmarkStart w:id="204" w:name="_Toc12177952"/>
      <w:bookmarkStart w:id="205" w:name="_Toc12177939"/>
      <w:bookmarkStart w:id="206" w:name="_Toc12178404"/>
      <w:bookmarkStart w:id="207" w:name="_Toc12545595"/>
      <w:bookmarkStart w:id="208" w:name="_Toc12126801"/>
      <w:bookmarkStart w:id="209" w:name="_Toc12177951"/>
      <w:bookmarkStart w:id="210" w:name="_Toc12126811"/>
      <w:bookmarkStart w:id="211" w:name="_Toc12177979"/>
      <w:bookmarkStart w:id="212" w:name="_Toc12177967"/>
      <w:bookmarkStart w:id="213" w:name="_Toc12360875"/>
      <w:bookmarkStart w:id="214" w:name="_Toc12177935"/>
      <w:bookmarkStart w:id="215" w:name="_Toc12545693"/>
      <w:bookmarkStart w:id="216" w:name="_Toc12177978"/>
      <w:bookmarkStart w:id="217" w:name="_Toc12545603"/>
      <w:bookmarkStart w:id="218" w:name="_Toc12545692"/>
      <w:bookmarkStart w:id="219" w:name="_Toc12545596"/>
      <w:bookmarkStart w:id="220" w:name="_Toc12177945"/>
      <w:bookmarkStart w:id="221" w:name="_Toc12126804"/>
      <w:bookmarkStart w:id="222" w:name="_Toc12545562"/>
      <w:bookmarkStart w:id="223" w:name="_Toc12126812"/>
      <w:bookmarkStart w:id="224" w:name="_Toc12177934"/>
      <w:bookmarkStart w:id="225" w:name="_Toc12178403"/>
      <w:bookmarkStart w:id="226" w:name="_Toc12177970"/>
      <w:bookmarkStart w:id="227" w:name="_Toc12177968"/>
      <w:bookmarkStart w:id="228" w:name="_Toc12178396"/>
      <w:bookmarkStart w:id="229" w:name="_Toc12545579"/>
      <w:bookmarkStart w:id="230" w:name="_Toc12177947"/>
      <w:bookmarkStart w:id="231" w:name="_Toc12126809"/>
      <w:bookmarkStart w:id="232" w:name="_Toc12360883"/>
      <w:bookmarkStart w:id="233" w:name="_Toc12178407"/>
      <w:bookmarkStart w:id="234" w:name="_Toc12360790"/>
      <w:bookmarkStart w:id="235" w:name="_Toc12545601"/>
      <w:bookmarkStart w:id="236" w:name="_Toc12545691"/>
      <w:bookmarkStart w:id="237" w:name="_Toc12360846"/>
      <w:bookmarkStart w:id="238" w:name="_Toc12545734"/>
      <w:bookmarkStart w:id="239" w:name="_Toc12177974"/>
      <w:bookmarkStart w:id="240" w:name="_Toc12177955"/>
      <w:bookmarkStart w:id="241" w:name="_Toc12360800"/>
      <w:bookmarkStart w:id="242" w:name="_Toc12177971"/>
      <w:bookmarkStart w:id="243" w:name="_Toc12360795"/>
      <w:bookmarkStart w:id="244" w:name="_Toc12360797"/>
      <w:bookmarkStart w:id="245" w:name="_Toc12177954"/>
      <w:bookmarkStart w:id="246" w:name="_Toc12360778"/>
      <w:bookmarkStart w:id="247" w:name="_Toc12126810"/>
      <w:bookmarkStart w:id="248" w:name="_Toc12545724"/>
      <w:bookmarkStart w:id="249" w:name="_Toc12360887"/>
      <w:bookmarkStart w:id="250" w:name="_Toc12126822"/>
      <w:bookmarkStart w:id="251" w:name="_Toc12177980"/>
      <w:bookmarkStart w:id="252" w:name="_Toc12360847"/>
      <w:bookmarkStart w:id="253" w:name="_Toc12360777"/>
      <w:bookmarkStart w:id="254" w:name="_Toc12178413"/>
      <w:bookmarkStart w:id="255" w:name="_Toc12545732"/>
      <w:bookmarkStart w:id="256" w:name="_Toc12545717"/>
      <w:bookmarkStart w:id="257" w:name="_Toc12177957"/>
      <w:bookmarkStart w:id="258" w:name="_Toc12545730"/>
      <w:bookmarkStart w:id="259" w:name="_Toc12360880"/>
      <w:bookmarkStart w:id="260" w:name="_Toc12545721"/>
      <w:bookmarkStart w:id="261" w:name="_Toc12360754"/>
      <w:bookmarkStart w:id="262" w:name="_Toc12545694"/>
      <w:bookmarkStart w:id="263" w:name="_Toc12545583"/>
      <w:bookmarkStart w:id="264" w:name="_Toc12178401"/>
      <w:bookmarkStart w:id="265" w:name="_Toc12545597"/>
      <w:bookmarkStart w:id="266" w:name="_Toc12360849"/>
      <w:bookmarkStart w:id="267" w:name="_Toc12360866"/>
      <w:bookmarkStart w:id="268" w:name="_Toc12545731"/>
      <w:bookmarkStart w:id="269" w:name="_Toc12545564"/>
      <w:bookmarkStart w:id="270" w:name="_Toc12360885"/>
      <w:bookmarkStart w:id="271" w:name="_Toc12178400"/>
      <w:bookmarkStart w:id="272" w:name="_Toc12360792"/>
      <w:bookmarkStart w:id="273" w:name="_Toc12545600"/>
      <w:bookmarkStart w:id="274" w:name="_Toc12360878"/>
      <w:bookmarkStart w:id="275" w:name="_Toc12545617"/>
      <w:bookmarkStart w:id="276" w:name="_Toc12360759"/>
      <w:bookmarkStart w:id="277" w:name="_Toc12178405"/>
      <w:bookmarkStart w:id="278" w:name="_Toc12545716"/>
      <w:bookmarkStart w:id="279" w:name="_Toc12360788"/>
      <w:bookmarkStart w:id="280" w:name="_Toc12126823"/>
      <w:bookmarkStart w:id="281" w:name="_Toc12360757"/>
      <w:bookmarkStart w:id="282" w:name="_Toc12545589"/>
      <w:bookmarkStart w:id="283" w:name="_Toc12360886"/>
      <w:bookmarkStart w:id="284" w:name="_Toc12360756"/>
      <w:bookmarkStart w:id="285" w:name="_Toc12360893"/>
      <w:bookmarkStart w:id="286" w:name="_Toc12545723"/>
      <w:bookmarkStart w:id="287" w:name="_Toc12360888"/>
      <w:bookmarkStart w:id="288" w:name="_Toc12177958"/>
      <w:bookmarkStart w:id="289" w:name="_Toc12545738"/>
      <w:bookmarkStart w:id="290" w:name="_Toc12360879"/>
      <w:bookmarkStart w:id="291" w:name="_Toc12178418"/>
      <w:bookmarkStart w:id="292" w:name="_Toc12177956"/>
      <w:bookmarkStart w:id="293" w:name="_Toc12545727"/>
      <w:bookmarkStart w:id="294" w:name="_Toc12545602"/>
      <w:bookmarkStart w:id="295" w:name="_Toc12545565"/>
      <w:bookmarkStart w:id="296" w:name="_Toc12178412"/>
      <w:bookmarkStart w:id="297" w:name="_Toc12360869"/>
      <w:bookmarkStart w:id="298" w:name="_Toc12545604"/>
      <w:bookmarkStart w:id="299" w:name="_Toc12360798"/>
      <w:bookmarkStart w:id="300" w:name="_Toc12178409"/>
      <w:bookmarkStart w:id="301" w:name="_Toc12545726"/>
      <w:bookmarkStart w:id="302" w:name="_Toc12360873"/>
      <w:bookmarkStart w:id="303" w:name="_Toc12545606"/>
      <w:bookmarkStart w:id="304" w:name="_Toc12178419"/>
      <w:bookmarkStart w:id="305" w:name="_Toc12545605"/>
      <w:bookmarkStart w:id="306" w:name="_Toc12360799"/>
      <w:bookmarkStart w:id="307" w:name="_Toc12360803"/>
      <w:bookmarkStart w:id="308" w:name="_Toc12545737"/>
      <w:bookmarkStart w:id="309" w:name="_Toc12360802"/>
      <w:bookmarkStart w:id="310" w:name="_Toc12178410"/>
      <w:bookmarkStart w:id="311" w:name="_Toc12360891"/>
      <w:bookmarkStart w:id="312" w:name="_Toc12360900"/>
      <w:bookmarkStart w:id="313" w:name="_Toc12360892"/>
      <w:bookmarkStart w:id="314" w:name="_Toc12545725"/>
      <w:bookmarkStart w:id="315" w:name="_Toc12545736"/>
      <w:bookmarkStart w:id="316" w:name="_Toc12360796"/>
      <w:bookmarkStart w:id="317" w:name="_Toc12178402"/>
      <w:bookmarkStart w:id="318" w:name="_Toc12545598"/>
      <w:bookmarkStart w:id="319" w:name="_Toc12178406"/>
      <w:bookmarkStart w:id="320" w:name="_Toc12360793"/>
      <w:bookmarkStart w:id="321" w:name="_Toc12545743"/>
      <w:bookmarkStart w:id="322" w:name="_Toc12545695"/>
      <w:bookmarkStart w:id="323" w:name="_Toc12360810"/>
      <w:bookmarkStart w:id="324" w:name="_Toc12360776"/>
      <w:bookmarkStart w:id="325" w:name="_Toc12178414"/>
      <w:bookmarkStart w:id="326" w:name="_Toc12178421"/>
      <w:bookmarkStart w:id="327" w:name="_Toc12545744"/>
      <w:bookmarkStart w:id="328" w:name="_Toc12178423"/>
      <w:bookmarkStart w:id="329" w:name="_Toc12178420"/>
      <w:bookmarkStart w:id="330" w:name="_Toc12178399"/>
      <w:bookmarkStart w:id="331" w:name="_Toc12545609"/>
      <w:bookmarkStart w:id="332" w:name="_Toc12545733"/>
      <w:bookmarkStart w:id="333" w:name="_Toc12178424"/>
      <w:bookmarkStart w:id="334" w:name="_Toc12360901"/>
      <w:bookmarkStart w:id="335" w:name="_Toc12360806"/>
      <w:bookmarkStart w:id="336" w:name="_Toc12545610"/>
      <w:bookmarkStart w:id="337" w:name="_Toc12360804"/>
      <w:bookmarkStart w:id="338" w:name="_Toc12545728"/>
      <w:bookmarkStart w:id="339" w:name="_Toc12178411"/>
      <w:bookmarkStart w:id="340" w:name="_Toc12545611"/>
      <w:bookmarkStart w:id="341" w:name="_Toc12545607"/>
      <w:bookmarkStart w:id="342" w:name="_Toc12360882"/>
      <w:bookmarkStart w:id="343" w:name="_Toc12360907"/>
      <w:bookmarkStart w:id="344" w:name="_Toc12360884"/>
      <w:bookmarkStart w:id="345" w:name="_Toc12360894"/>
      <w:bookmarkStart w:id="346" w:name="_Toc12360890"/>
      <w:bookmarkStart w:id="347" w:name="_Toc12360786"/>
      <w:bookmarkStart w:id="348" w:name="_Toc12360794"/>
      <w:bookmarkStart w:id="349" w:name="_Toc12360867"/>
      <w:bookmarkStart w:id="350" w:name="_Toc12545735"/>
      <w:bookmarkStart w:id="351" w:name="_Toc12360897"/>
      <w:bookmarkStart w:id="352" w:name="_Toc12545729"/>
      <w:bookmarkStart w:id="353" w:name="_Toc12360801"/>
      <w:bookmarkStart w:id="354" w:name="_Toc12360787"/>
      <w:bookmarkStart w:id="355" w:name="_Toc12360807"/>
      <w:bookmarkStart w:id="356" w:name="_Toc12545616"/>
      <w:bookmarkStart w:id="357" w:name="_Toc12545751"/>
      <w:bookmarkStart w:id="358" w:name="_Toc12545718"/>
      <w:bookmarkStart w:id="359" w:name="_Toc12545746"/>
      <w:bookmarkStart w:id="360" w:name="_Toc12360813"/>
      <w:bookmarkStart w:id="361" w:name="_Toc12360816"/>
      <w:bookmarkStart w:id="362" w:name="_Toc12360896"/>
      <w:bookmarkStart w:id="363" w:name="_Toc12360808"/>
      <w:bookmarkStart w:id="364" w:name="_Toc12360809"/>
      <w:bookmarkStart w:id="365" w:name="_Toc12545608"/>
      <w:bookmarkStart w:id="366" w:name="_Toc12360906"/>
      <w:bookmarkStart w:id="367" w:name="_Toc12360779"/>
      <w:bookmarkStart w:id="368" w:name="_Toc12545748"/>
      <w:bookmarkStart w:id="369" w:name="_Toc12545615"/>
      <w:bookmarkStart w:id="370" w:name="_Toc12545740"/>
      <w:bookmarkStart w:id="371" w:name="_Toc12545599"/>
      <w:bookmarkStart w:id="372" w:name="_Toc12545584"/>
      <w:bookmarkStart w:id="373" w:name="_Toc12178408"/>
      <w:bookmarkStart w:id="374" w:name="_Toc12545612"/>
      <w:bookmarkStart w:id="375" w:name="_Toc12604075"/>
      <w:bookmarkStart w:id="376" w:name="_Toc12545745"/>
      <w:bookmarkStart w:id="377" w:name="_Toc12545625"/>
      <w:bookmarkStart w:id="378" w:name="_Toc12360904"/>
      <w:bookmarkStart w:id="379" w:name="_Toc12178427"/>
      <w:bookmarkStart w:id="380" w:name="_Toc12360817"/>
      <w:bookmarkStart w:id="381" w:name="_Toc12545618"/>
      <w:bookmarkStart w:id="382" w:name="_Toc12545620"/>
      <w:bookmarkStart w:id="383" w:name="_Toc12360895"/>
      <w:bookmarkStart w:id="384" w:name="_Toc12545752"/>
      <w:bookmarkStart w:id="385" w:name="_Toc12360899"/>
      <w:bookmarkStart w:id="386" w:name="_Toc12178417"/>
      <w:bookmarkStart w:id="387" w:name="_Toc12545739"/>
      <w:bookmarkStart w:id="388" w:name="_Toc12360812"/>
      <w:bookmarkStart w:id="389" w:name="_Toc12545619"/>
      <w:bookmarkStart w:id="390" w:name="_Toc12178422"/>
      <w:bookmarkStart w:id="391" w:name="_Toc12545747"/>
      <w:bookmarkStart w:id="392" w:name="_Toc12360908"/>
      <w:bookmarkStart w:id="393" w:name="_Toc12545742"/>
      <w:bookmarkStart w:id="394" w:name="_Toc12545749"/>
      <w:bookmarkStart w:id="395" w:name="_Toc12545754"/>
      <w:bookmarkStart w:id="396" w:name="_Toc12545741"/>
      <w:bookmarkStart w:id="397" w:name="_Toc12545708"/>
      <w:bookmarkStart w:id="398" w:name="_Toc12545753"/>
      <w:bookmarkStart w:id="399" w:name="_Toc12360818"/>
      <w:bookmarkStart w:id="400" w:name="_Toc12545709"/>
      <w:bookmarkStart w:id="401" w:name="_Toc12545576"/>
      <w:bookmarkStart w:id="402" w:name="_Toc18595400"/>
      <w:bookmarkStart w:id="403" w:name="_Toc12360889"/>
      <w:bookmarkStart w:id="404" w:name="_Toc12545621"/>
      <w:bookmarkStart w:id="405" w:name="_Toc12360814"/>
      <w:bookmarkStart w:id="406" w:name="_Toc12545613"/>
      <w:bookmarkStart w:id="407" w:name="_Toc12545750"/>
      <w:bookmarkStart w:id="408" w:name="_Toc12360903"/>
      <w:bookmarkStart w:id="409" w:name="_Toc12360850"/>
      <w:bookmarkStart w:id="410" w:name="_Toc12545714"/>
      <w:bookmarkStart w:id="411" w:name="_Toc12545614"/>
      <w:bookmarkStart w:id="412" w:name="_Toc12545624"/>
      <w:bookmarkStart w:id="413" w:name="_Toc12545707"/>
      <w:bookmarkStart w:id="414" w:name="_Toc12360805"/>
      <w:bookmarkStart w:id="415" w:name="_Toc12178416"/>
      <w:bookmarkStart w:id="416" w:name="_Toc12545623"/>
      <w:bookmarkStart w:id="417" w:name="_Toc12178415"/>
      <w:bookmarkStart w:id="418" w:name="_Toc12545570"/>
      <w:bookmarkStart w:id="419" w:name="_Toc12545587"/>
      <w:bookmarkStart w:id="420" w:name="_Toc12360905"/>
      <w:bookmarkStart w:id="421" w:name="_Toc12360781"/>
      <w:bookmarkStart w:id="422" w:name="_Toc12545577"/>
      <w:bookmarkStart w:id="423" w:name="_Toc12360854"/>
      <w:bookmarkStart w:id="424" w:name="_Toc12360762"/>
      <w:bookmarkStart w:id="425" w:name="_Toc12178428"/>
      <w:bookmarkStart w:id="426" w:name="_Toc12545581"/>
      <w:bookmarkStart w:id="427" w:name="_Toc12545573"/>
      <w:bookmarkStart w:id="428" w:name="_Toc12360767"/>
      <w:bookmarkStart w:id="429" w:name="_Toc12360783"/>
      <w:bookmarkStart w:id="430" w:name="_Toc12360768"/>
      <w:bookmarkStart w:id="431" w:name="_Toc12545700"/>
      <w:bookmarkStart w:id="432" w:name="_Toc12177977"/>
      <w:bookmarkStart w:id="433" w:name="_Toc12360771"/>
      <w:bookmarkStart w:id="434" w:name="_Toc12360902"/>
      <w:bookmarkStart w:id="435" w:name="_Toc12360811"/>
      <w:bookmarkStart w:id="436" w:name="_Toc12360870"/>
      <w:bookmarkStart w:id="437" w:name="_Toc12545702"/>
      <w:bookmarkStart w:id="438" w:name="_Toc12545622"/>
      <w:bookmarkStart w:id="439" w:name="_Toc12545586"/>
      <w:bookmarkStart w:id="440" w:name="_Toc12545701"/>
      <w:bookmarkStart w:id="441" w:name="_Toc12360872"/>
      <w:bookmarkStart w:id="442" w:name="_Toc12360766"/>
      <w:bookmarkStart w:id="443" w:name="_Toc12360815"/>
      <w:bookmarkStart w:id="444" w:name="_Toc12360898"/>
      <w:bookmarkStart w:id="445" w:name="_Toc12545572"/>
      <w:bookmarkStart w:id="446" w:name="_Toc12545568"/>
      <w:bookmarkStart w:id="447" w:name="_Toc12545585"/>
      <w:bookmarkStart w:id="448" w:name="_Toc12360853"/>
      <w:bookmarkStart w:id="449" w:name="_Toc12360765"/>
      <w:bookmarkStart w:id="450" w:name="_Toc12360859"/>
      <w:bookmarkStart w:id="451" w:name="_Toc12545574"/>
      <w:bookmarkStart w:id="452" w:name="_Toc12178425"/>
      <w:bookmarkStart w:id="453" w:name="_Toc12545713"/>
      <w:bookmarkStart w:id="454" w:name="_Toc12545690"/>
      <w:bookmarkStart w:id="455" w:name="_Toc12545698"/>
      <w:bookmarkStart w:id="456" w:name="_Toc12545590"/>
      <w:bookmarkStart w:id="457" w:name="_Toc12360760"/>
      <w:bookmarkStart w:id="458" w:name="_Toc12360861"/>
      <w:bookmarkStart w:id="459" w:name="_Toc12545580"/>
      <w:bookmarkStart w:id="460" w:name="_Toc12545571"/>
      <w:bookmarkStart w:id="461" w:name="_Toc12360764"/>
      <w:bookmarkStart w:id="462" w:name="_Toc12545715"/>
      <w:bookmarkStart w:id="463" w:name="_Toc12545712"/>
      <w:bookmarkStart w:id="464" w:name="_Toc12360851"/>
      <w:bookmarkStart w:id="465" w:name="_Toc12360844"/>
      <w:bookmarkStart w:id="466" w:name="_Toc12545567"/>
      <w:bookmarkStart w:id="467" w:name="_Toc12545704"/>
      <w:bookmarkStart w:id="468" w:name="_Toc12360865"/>
      <w:bookmarkStart w:id="469" w:name="_Toc12360852"/>
      <w:bookmarkStart w:id="470" w:name="_Toc12545588"/>
      <w:bookmarkStart w:id="471" w:name="_Toc12360871"/>
      <w:bookmarkStart w:id="472" w:name="_Toc12360855"/>
      <w:bookmarkStart w:id="473" w:name="_Toc12360782"/>
      <w:bookmarkStart w:id="474" w:name="_Toc12545699"/>
      <w:bookmarkStart w:id="475" w:name="_Toc12545719"/>
      <w:bookmarkStart w:id="476" w:name="_Toc12360856"/>
      <w:bookmarkStart w:id="477" w:name="_Toc12360769"/>
      <w:bookmarkStart w:id="478" w:name="_Toc12360775"/>
      <w:bookmarkStart w:id="479" w:name="_Toc12178426"/>
      <w:bookmarkStart w:id="480" w:name="_Toc12360761"/>
      <w:bookmarkStart w:id="481" w:name="_Toc12360763"/>
      <w:bookmarkStart w:id="482" w:name="_Toc12360772"/>
      <w:bookmarkStart w:id="483" w:name="_Toc12545569"/>
      <w:bookmarkStart w:id="484" w:name="_Toc12545703"/>
      <w:bookmarkStart w:id="485" w:name="_Toc12360868"/>
      <w:bookmarkStart w:id="486" w:name="_Toc12545705"/>
      <w:bookmarkStart w:id="487" w:name="_Toc12360857"/>
      <w:bookmarkStart w:id="488" w:name="_Toc12360774"/>
      <w:bookmarkStart w:id="489" w:name="_Toc12545696"/>
      <w:bookmarkStart w:id="490" w:name="_Toc12545697"/>
      <w:bookmarkStart w:id="491" w:name="_Toc27643095"/>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r w:rsidRPr="00667D50">
        <w:rPr>
          <w:rFonts w:ascii="黑体" w:eastAsia="黑体" w:hAnsi="黑体" w:hint="eastAsia"/>
          <w:sz w:val="30"/>
          <w:szCs w:val="30"/>
        </w:rPr>
        <w:t>其他交易与服务事项</w:t>
      </w:r>
      <w:bookmarkEnd w:id="491"/>
    </w:p>
    <w:p w:rsidR="00137E10" w:rsidRPr="00667D50" w:rsidRDefault="00137E10" w:rsidP="00137E10">
      <w:pPr>
        <w:pStyle w:val="2"/>
        <w:keepNext w:val="0"/>
        <w:keepLines w:val="0"/>
        <w:numPr>
          <w:ilvl w:val="0"/>
          <w:numId w:val="16"/>
        </w:numPr>
        <w:spacing w:before="0" w:after="0" w:line="560" w:lineRule="exact"/>
        <w:jc w:val="center"/>
        <w:rPr>
          <w:rFonts w:ascii="仿宋_GB2312" w:eastAsia="仿宋_GB2312" w:hAnsi="Times New Roman"/>
          <w:color w:val="000000"/>
          <w:sz w:val="30"/>
          <w:szCs w:val="30"/>
        </w:rPr>
      </w:pPr>
      <w:bookmarkStart w:id="492" w:name="_Toc18937664"/>
      <w:bookmarkStart w:id="493" w:name="_Toc27643096"/>
      <w:bookmarkEnd w:id="492"/>
      <w:r w:rsidRPr="00667D50">
        <w:rPr>
          <w:rFonts w:ascii="仿宋_GB2312" w:eastAsia="仿宋_GB2312" w:hAnsi="Times New Roman" w:hint="eastAsia"/>
          <w:color w:val="000000"/>
          <w:sz w:val="30"/>
          <w:szCs w:val="30"/>
        </w:rPr>
        <w:t>挂牌、摘牌、停牌与复牌</w:t>
      </w:r>
      <w:bookmarkEnd w:id="493"/>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本所对符合上市、挂牌条件的债券实行挂牌交易。</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按照本所相关业务规则规定，债券被终止上市、转让的，本所予以摘牌。</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出现债券交易价格异常大幅波动，对相关债券合理定价产生重大不利影响，以及其他严重影响本所债券交易秩序情形的，本所可以视情况对相关债券实施停牌。相关情形消除后，本所予以复牌。</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债券在交易时间内停牌后复牌的，停牌前的</w:t>
      </w:r>
      <w:r w:rsidRPr="00667D50">
        <w:rPr>
          <w:rFonts w:ascii="仿宋_GB2312" w:eastAsia="仿宋_GB2312" w:hAnsi="Times New Roman" w:hint="eastAsia"/>
          <w:color w:val="000000"/>
          <w:sz w:val="30"/>
          <w:szCs w:val="30"/>
        </w:rPr>
        <w:lastRenderedPageBreak/>
        <w:t>未成交申报可以继续参加当日该债券复牌后的交易。</w:t>
      </w:r>
    </w:p>
    <w:p w:rsidR="00137E10" w:rsidRPr="00667D50" w:rsidRDefault="00137E10" w:rsidP="00137E10">
      <w:pPr>
        <w:pStyle w:val="a5"/>
        <w:shd w:val="clear" w:color="auto" w:fill="FFFFFF"/>
        <w:adjustRightInd w:val="0"/>
        <w:snapToGrid w:val="0"/>
        <w:spacing w:before="0" w:beforeAutospacing="0" w:after="0" w:afterAutospacing="0" w:line="560" w:lineRule="exact"/>
        <w:ind w:firstLineChars="200" w:firstLine="600"/>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债券停牌期间，交易系统不接受交易申报，但接受符合要求的撤销申报。</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债券停牌期间，本所发布的行情中包括该债券的信息；债券摘牌后，行情中无该债券的信息。</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关于债券挂牌、摘牌、停牌与复牌的其他规定，依据《上海证券交易所公司债券上市规则》《上海证券交易所非公开发行公司债券挂牌转让规则》及其他相关规定执行。</w:t>
      </w:r>
    </w:p>
    <w:p w:rsidR="00137E10" w:rsidRPr="00667D50" w:rsidRDefault="00137E10" w:rsidP="00137E10">
      <w:pPr>
        <w:pStyle w:val="2"/>
        <w:keepNext w:val="0"/>
        <w:keepLines w:val="0"/>
        <w:numPr>
          <w:ilvl w:val="0"/>
          <w:numId w:val="16"/>
        </w:numPr>
        <w:spacing w:before="0" w:after="0" w:line="560" w:lineRule="exact"/>
        <w:jc w:val="center"/>
        <w:rPr>
          <w:rFonts w:ascii="仿宋_GB2312" w:eastAsia="仿宋_GB2312" w:hAnsi="Times New Roman"/>
          <w:color w:val="000000"/>
          <w:sz w:val="30"/>
          <w:szCs w:val="30"/>
        </w:rPr>
      </w:pPr>
      <w:bookmarkStart w:id="494" w:name="_Toc24638127"/>
      <w:bookmarkStart w:id="495" w:name="_Toc18595403"/>
      <w:bookmarkStart w:id="496" w:name="_Toc27643097"/>
      <w:bookmarkEnd w:id="494"/>
      <w:bookmarkEnd w:id="495"/>
      <w:r w:rsidRPr="00667D50">
        <w:rPr>
          <w:rFonts w:ascii="仿宋_GB2312" w:eastAsia="仿宋_GB2312" w:hAnsi="Times New Roman" w:hint="eastAsia"/>
          <w:color w:val="000000"/>
          <w:sz w:val="30"/>
          <w:szCs w:val="30"/>
        </w:rPr>
        <w:t>其他服务事项</w:t>
      </w:r>
      <w:bookmarkEnd w:id="496"/>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设定转股、换股条款的债券，债券持有人在转（换）股期内可以通过交易系统或者本所认可的其他方式进行转（换）股申报，将持有的债券转（换）为相应的股票或者股份。</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bookmarkStart w:id="497" w:name="_Toc17993029"/>
      <w:bookmarkStart w:id="498" w:name="_Toc17993030"/>
      <w:bookmarkStart w:id="499" w:name="_Toc18595405"/>
      <w:bookmarkEnd w:id="497"/>
      <w:bookmarkEnd w:id="498"/>
      <w:bookmarkEnd w:id="499"/>
      <w:r w:rsidRPr="00667D50">
        <w:rPr>
          <w:rFonts w:ascii="仿宋_GB2312" w:eastAsia="仿宋_GB2312" w:hAnsi="Times New Roman" w:hint="eastAsia"/>
          <w:color w:val="000000"/>
          <w:sz w:val="30"/>
          <w:szCs w:val="30"/>
        </w:rPr>
        <w:t>设定投资者回售选择权的债券，债券持有人在回售登记期内可以通过交易系统或者本所认可的其他方式进行债券回售申报，将持有的债券全部或者部分回售给发行人。回售登记期内，债券持有人未提交回售申报或者撤销回售申报的，视为继续持有债券。</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债券发行人根据相关安排进行回售后转售的，可以通过交易系统或者本所认可的其他方式实施转售，并按照相关规定进行申报、结算。</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cs="Times New Roman" w:hint="eastAsia"/>
          <w:color w:val="000000"/>
          <w:sz w:val="30"/>
          <w:szCs w:val="30"/>
        </w:rPr>
        <w:t>债券分期偿还采取减少面额、减少持仓或者本所认可的其他方式办理。</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sz w:val="30"/>
          <w:szCs w:val="30"/>
        </w:rPr>
      </w:pPr>
      <w:r w:rsidRPr="00667D50">
        <w:rPr>
          <w:rFonts w:ascii="仿宋_GB2312" w:eastAsia="仿宋_GB2312" w:hAnsi="Times New Roman" w:cs="Times New Roman" w:hint="eastAsia"/>
          <w:sz w:val="30"/>
          <w:szCs w:val="30"/>
        </w:rPr>
        <w:t>债券分期偿还采取减少面额方式的，按照以下规定办理：</w:t>
      </w:r>
    </w:p>
    <w:p w:rsidR="00137E10" w:rsidRPr="00667D50" w:rsidRDefault="00137E10" w:rsidP="00137E10">
      <w:pPr>
        <w:pStyle w:val="a4"/>
        <w:numPr>
          <w:ilvl w:val="0"/>
          <w:numId w:val="26"/>
        </w:numPr>
        <w:spacing w:line="560" w:lineRule="exact"/>
        <w:ind w:left="0" w:firstLine="567"/>
        <w:rPr>
          <w:rFonts w:ascii="仿宋_GB2312"/>
          <w:szCs w:val="30"/>
        </w:rPr>
      </w:pPr>
      <w:r w:rsidRPr="00667D50">
        <w:rPr>
          <w:rFonts w:ascii="仿宋_GB2312" w:hint="eastAsia"/>
          <w:szCs w:val="30"/>
        </w:rPr>
        <w:t>债券持仓数量保持不变，债券面额根据已偿还比例</w:t>
      </w:r>
      <w:r w:rsidRPr="00667D50">
        <w:rPr>
          <w:rFonts w:ascii="仿宋_GB2312" w:hint="eastAsia"/>
          <w:szCs w:val="30"/>
        </w:rPr>
        <w:lastRenderedPageBreak/>
        <w:t>相应减少。面额计算公式为：减少后的面额=发行面额×未偿还比例。</w:t>
      </w:r>
    </w:p>
    <w:p w:rsidR="00137E10" w:rsidRPr="00667D50" w:rsidRDefault="00137E10" w:rsidP="00137E10">
      <w:pPr>
        <w:pStyle w:val="a4"/>
        <w:numPr>
          <w:ilvl w:val="0"/>
          <w:numId w:val="26"/>
        </w:numPr>
        <w:spacing w:line="560" w:lineRule="exact"/>
        <w:ind w:left="0" w:firstLine="567"/>
        <w:rPr>
          <w:rFonts w:ascii="仿宋_GB2312"/>
          <w:szCs w:val="30"/>
        </w:rPr>
      </w:pPr>
      <w:r w:rsidRPr="00667D50">
        <w:rPr>
          <w:rFonts w:ascii="仿宋_GB2312" w:hint="eastAsia"/>
          <w:szCs w:val="30"/>
        </w:rPr>
        <w:t>本所在权益登记日次一交易日作除权处理。</w:t>
      </w:r>
      <w:r w:rsidRPr="00667D50">
        <w:rPr>
          <w:rFonts w:ascii="仿宋_GB2312" w:hint="eastAsia"/>
          <w:color w:val="000000"/>
          <w:szCs w:val="30"/>
        </w:rPr>
        <w:t>除权日即时行情中显示的该债券的前收盘价为除权参考价。</w:t>
      </w:r>
      <w:r w:rsidRPr="00667D50">
        <w:rPr>
          <w:rFonts w:ascii="仿宋_GB2312" w:hint="eastAsia"/>
          <w:szCs w:val="30"/>
        </w:rPr>
        <w:t>除权参考价=前收盘价-100元×本次偿还比例。</w:t>
      </w:r>
    </w:p>
    <w:p w:rsidR="00137E10" w:rsidRPr="00667D50" w:rsidRDefault="00137E10" w:rsidP="00137E10">
      <w:pPr>
        <w:pStyle w:val="a4"/>
        <w:spacing w:line="560" w:lineRule="exact"/>
        <w:ind w:firstLineChars="200"/>
        <w:rPr>
          <w:rFonts w:ascii="仿宋_GB2312"/>
          <w:szCs w:val="30"/>
        </w:rPr>
      </w:pPr>
      <w:r w:rsidRPr="00667D50">
        <w:rPr>
          <w:rFonts w:ascii="仿宋_GB2312" w:hint="eastAsia"/>
          <w:color w:val="000000"/>
          <w:szCs w:val="30"/>
        </w:rPr>
        <w:t>债券分期偿还采取减少持仓方式的，债券面额保持不变，债券持仓数量根据已偿还比例相应减少。由此产生的不足1000元面额的债券，应当予以全部偿还。</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bookmarkStart w:id="500" w:name="_Toc18595408"/>
      <w:bookmarkEnd w:id="500"/>
      <w:r w:rsidRPr="00667D50">
        <w:rPr>
          <w:rFonts w:ascii="仿宋_GB2312" w:eastAsia="仿宋_GB2312" w:hAnsi="Times New Roman" w:cs="Times New Roman" w:hint="eastAsia"/>
          <w:sz w:val="30"/>
          <w:szCs w:val="30"/>
        </w:rPr>
        <w:t>采用全价价格交易的债券发生付息的，本所在权益登记日次一交易日对该债券作除息处理。本所另有规定的除外。</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hint="eastAsia"/>
          <w:color w:val="000000"/>
          <w:sz w:val="30"/>
          <w:szCs w:val="30"/>
        </w:rPr>
        <w:t>除息日即时行情中显示的该债券的前收盘价为除息参考价。</w:t>
      </w:r>
      <w:r w:rsidRPr="00667D50">
        <w:rPr>
          <w:rFonts w:ascii="仿宋_GB2312" w:eastAsia="仿宋_GB2312" w:hAnsi="Times New Roman" w:cs="Times New Roman" w:hint="eastAsia"/>
          <w:sz w:val="30"/>
          <w:szCs w:val="30"/>
        </w:rPr>
        <w:t>除息参考价=前收盘价-本次支付的利息。</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债券投资者可以通过交易系统提交转托管申报，将持有的已上市流通跨市场债券在不同登记结算机构间进行托管转移。</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本所可以根据市场发展情况和投资者需求，通过交易系统提供其他相关服务。</w:t>
      </w:r>
    </w:p>
    <w:p w:rsidR="00137E10" w:rsidRPr="00667D50" w:rsidRDefault="00137E10" w:rsidP="00137E10">
      <w:pPr>
        <w:pStyle w:val="1"/>
        <w:keepNext w:val="0"/>
        <w:keepLines w:val="0"/>
        <w:numPr>
          <w:ilvl w:val="0"/>
          <w:numId w:val="1"/>
        </w:numPr>
        <w:spacing w:before="0" w:after="0" w:line="560" w:lineRule="exact"/>
        <w:ind w:left="748" w:hanging="748"/>
        <w:jc w:val="center"/>
        <w:rPr>
          <w:rFonts w:ascii="黑体" w:eastAsia="黑体" w:hAnsi="黑体"/>
          <w:sz w:val="30"/>
          <w:szCs w:val="30"/>
        </w:rPr>
      </w:pPr>
      <w:bookmarkStart w:id="501" w:name="_Toc18937668"/>
      <w:bookmarkStart w:id="502" w:name="_Toc18937667"/>
      <w:bookmarkStart w:id="503" w:name="_Toc18937669"/>
      <w:bookmarkStart w:id="504" w:name="_Toc18595410"/>
      <w:bookmarkStart w:id="505" w:name="_Toc22662864"/>
      <w:bookmarkStart w:id="506" w:name="_Toc22573209"/>
      <w:bookmarkStart w:id="507" w:name="_Toc27643098"/>
      <w:bookmarkStart w:id="508" w:name="_Toc534204373"/>
      <w:bookmarkStart w:id="509" w:name="_Toc536793536"/>
      <w:bookmarkStart w:id="510" w:name="_Toc534204910"/>
      <w:bookmarkEnd w:id="501"/>
      <w:bookmarkEnd w:id="502"/>
      <w:bookmarkEnd w:id="503"/>
      <w:bookmarkEnd w:id="504"/>
      <w:r w:rsidRPr="00667D50">
        <w:rPr>
          <w:rFonts w:ascii="黑体" w:eastAsia="黑体" w:hAnsi="黑体" w:hint="eastAsia"/>
          <w:sz w:val="30"/>
          <w:szCs w:val="30"/>
        </w:rPr>
        <w:t>交易信息</w:t>
      </w:r>
      <w:bookmarkStart w:id="511" w:name="_Toc22573038"/>
      <w:bookmarkStart w:id="512" w:name="_Toc22572956"/>
      <w:bookmarkStart w:id="513" w:name="_Toc22573215"/>
      <w:bookmarkStart w:id="514" w:name="_Toc22572954"/>
      <w:bookmarkStart w:id="515" w:name="_Toc22573212"/>
      <w:bookmarkStart w:id="516" w:name="_Toc22662868"/>
      <w:bookmarkStart w:id="517" w:name="_Toc22572955"/>
      <w:bookmarkStart w:id="518" w:name="_Toc22573040"/>
      <w:bookmarkStart w:id="519" w:name="_Toc22573039"/>
      <w:bookmarkStart w:id="520" w:name="_Toc22572959"/>
      <w:bookmarkStart w:id="521" w:name="_Toc22662869"/>
      <w:bookmarkStart w:id="522" w:name="_Toc22573044"/>
      <w:bookmarkStart w:id="523" w:name="_Toc22662870"/>
      <w:bookmarkStart w:id="524" w:name="_Toc22662871"/>
      <w:bookmarkStart w:id="525" w:name="_Toc22573211"/>
      <w:bookmarkStart w:id="526" w:name="_Toc22662865"/>
      <w:bookmarkStart w:id="527" w:name="_Toc22573043"/>
      <w:bookmarkStart w:id="528" w:name="_Toc22572957"/>
      <w:bookmarkStart w:id="529" w:name="_Toc22573042"/>
      <w:bookmarkStart w:id="530" w:name="_Toc22572960"/>
      <w:bookmarkStart w:id="531" w:name="_Toc22662866"/>
      <w:bookmarkStart w:id="532" w:name="_Toc22573214"/>
      <w:bookmarkStart w:id="533" w:name="_Toc22573041"/>
      <w:bookmarkStart w:id="534" w:name="_Toc22573213"/>
      <w:bookmarkStart w:id="535" w:name="_Toc22572958"/>
      <w:bookmarkStart w:id="536" w:name="_Toc22573216"/>
      <w:bookmarkStart w:id="537" w:name="_Toc22662867"/>
      <w:bookmarkStart w:id="538" w:name="_Toc22573210"/>
      <w:bookmarkEnd w:id="505"/>
      <w:bookmarkEnd w:id="506"/>
      <w:bookmarkEnd w:id="507"/>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p>
    <w:p w:rsidR="00137E10" w:rsidRPr="00667D50" w:rsidRDefault="00137E10" w:rsidP="00137E10">
      <w:pPr>
        <w:pStyle w:val="a5"/>
        <w:widowControl w:val="0"/>
        <w:numPr>
          <w:ilvl w:val="1"/>
          <w:numId w:val="2"/>
        </w:numPr>
        <w:shd w:val="clear" w:color="auto" w:fill="FFFFFF"/>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本所或者本所授权机构在每个交易日向全市场发布债券交易申报信息、债券交易成交信息、债券市场基础信息、债券指数、债券收益率曲线等信息。</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本所向市场实时发布债券交易申报信息。</w:t>
      </w:r>
    </w:p>
    <w:p w:rsidR="00137E10" w:rsidRPr="00667D50" w:rsidRDefault="00137E10" w:rsidP="00137E10">
      <w:pPr>
        <w:pStyle w:val="a5"/>
        <w:widowControl w:val="0"/>
        <w:shd w:val="clear" w:color="auto" w:fill="FFFFFF"/>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本所在集合匹配阶段发布参考价格、虚拟匹配量、虚拟未匹</w:t>
      </w:r>
      <w:r w:rsidRPr="00667D50">
        <w:rPr>
          <w:rFonts w:ascii="仿宋_GB2312" w:eastAsia="仿宋_GB2312" w:hAnsi="Times New Roman" w:hint="eastAsia"/>
          <w:color w:val="000000"/>
          <w:sz w:val="30"/>
          <w:szCs w:val="30"/>
        </w:rPr>
        <w:lastRenderedPageBreak/>
        <w:t>配量等信息，在连续匹配阶段发布最优五档买卖申报时间、价格、数量等信息。</w:t>
      </w:r>
    </w:p>
    <w:p w:rsidR="00137E10" w:rsidRPr="00667D50" w:rsidRDefault="00137E10" w:rsidP="00137E10">
      <w:pPr>
        <w:pStyle w:val="a5"/>
        <w:widowControl w:val="0"/>
        <w:shd w:val="clear" w:color="auto" w:fill="FFFFFF"/>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除本所另有规定外，本所逐笔发布债券投资者向全市场发送的以下信息：</w:t>
      </w:r>
    </w:p>
    <w:p w:rsidR="00137E10" w:rsidRPr="00667D50" w:rsidRDefault="00137E10" w:rsidP="00137E10">
      <w:pPr>
        <w:pStyle w:val="a4"/>
        <w:numPr>
          <w:ilvl w:val="0"/>
          <w:numId w:val="27"/>
        </w:numPr>
        <w:spacing w:line="560" w:lineRule="exact"/>
        <w:ind w:left="0" w:firstLine="480"/>
        <w:rPr>
          <w:rFonts w:ascii="仿宋_GB2312"/>
          <w:color w:val="000000"/>
          <w:szCs w:val="30"/>
        </w:rPr>
      </w:pPr>
      <w:r w:rsidRPr="00667D50">
        <w:rPr>
          <w:rFonts w:ascii="仿宋_GB2312" w:hint="eastAsia"/>
          <w:color w:val="000000"/>
          <w:szCs w:val="30"/>
        </w:rPr>
        <w:t>匹配成交债券现券大额买卖申报时间、价格、数量等信息；</w:t>
      </w:r>
    </w:p>
    <w:p w:rsidR="00137E10" w:rsidRPr="00667D50" w:rsidRDefault="00137E10" w:rsidP="00137E10">
      <w:pPr>
        <w:pStyle w:val="a4"/>
        <w:numPr>
          <w:ilvl w:val="0"/>
          <w:numId w:val="27"/>
        </w:numPr>
        <w:spacing w:line="560" w:lineRule="exact"/>
        <w:ind w:left="0" w:firstLine="480"/>
        <w:rPr>
          <w:rFonts w:ascii="仿宋_GB2312"/>
          <w:color w:val="000000"/>
          <w:szCs w:val="30"/>
        </w:rPr>
      </w:pPr>
      <w:r w:rsidRPr="00667D50">
        <w:rPr>
          <w:rFonts w:ascii="仿宋_GB2312" w:hint="eastAsia"/>
          <w:color w:val="000000"/>
          <w:szCs w:val="30"/>
        </w:rPr>
        <w:t>点击成交报价方报价时间、数量、价格等信息；</w:t>
      </w:r>
    </w:p>
    <w:p w:rsidR="00137E10" w:rsidRPr="00667D50" w:rsidRDefault="00137E10" w:rsidP="00137E10">
      <w:pPr>
        <w:pStyle w:val="a4"/>
        <w:numPr>
          <w:ilvl w:val="0"/>
          <w:numId w:val="27"/>
        </w:numPr>
        <w:spacing w:line="560" w:lineRule="exact"/>
        <w:ind w:left="0" w:firstLine="480"/>
        <w:rPr>
          <w:rFonts w:ascii="仿宋_GB2312"/>
          <w:color w:val="000000"/>
          <w:szCs w:val="30"/>
        </w:rPr>
      </w:pPr>
      <w:r w:rsidRPr="00667D50">
        <w:rPr>
          <w:rFonts w:ascii="仿宋_GB2312" w:hint="eastAsia"/>
          <w:color w:val="000000"/>
          <w:szCs w:val="30"/>
        </w:rPr>
        <w:t>意向申报时间、数量与价格（如有）等信息；</w:t>
      </w:r>
    </w:p>
    <w:p w:rsidR="00137E10" w:rsidRPr="00667D50" w:rsidRDefault="00137E10" w:rsidP="00137E10">
      <w:pPr>
        <w:pStyle w:val="a4"/>
        <w:numPr>
          <w:ilvl w:val="0"/>
          <w:numId w:val="27"/>
        </w:numPr>
        <w:spacing w:line="560" w:lineRule="exact"/>
        <w:ind w:left="0" w:firstLine="480"/>
        <w:rPr>
          <w:rFonts w:ascii="仿宋_GB2312"/>
          <w:color w:val="000000"/>
          <w:szCs w:val="30"/>
        </w:rPr>
      </w:pPr>
      <w:r w:rsidRPr="00667D50">
        <w:rPr>
          <w:rFonts w:ascii="仿宋_GB2312" w:hint="eastAsia"/>
          <w:color w:val="000000"/>
          <w:szCs w:val="30"/>
        </w:rPr>
        <w:t>竞买成交竞买发起申报时间、竞买方式、数量、价格区间，以及单一主体中标方式的应价申报时间、价格等信息。</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除本所另有规定外，本所实时发布以下成交行情：</w:t>
      </w:r>
    </w:p>
    <w:p w:rsidR="00137E10" w:rsidRPr="00667D50" w:rsidRDefault="00137E10" w:rsidP="00137E10">
      <w:pPr>
        <w:pStyle w:val="a4"/>
        <w:numPr>
          <w:ilvl w:val="0"/>
          <w:numId w:val="28"/>
        </w:numPr>
        <w:spacing w:line="560" w:lineRule="exact"/>
        <w:ind w:left="0" w:firstLine="480"/>
        <w:rPr>
          <w:rFonts w:ascii="仿宋_GB2312"/>
          <w:color w:val="000000"/>
          <w:szCs w:val="30"/>
        </w:rPr>
      </w:pPr>
      <w:r w:rsidRPr="00667D50">
        <w:rPr>
          <w:rFonts w:ascii="仿宋_GB2312" w:hint="eastAsia"/>
          <w:color w:val="000000"/>
          <w:szCs w:val="30"/>
        </w:rPr>
        <w:t>债券即时成交行情；</w:t>
      </w:r>
    </w:p>
    <w:p w:rsidR="00137E10" w:rsidRPr="00667D50" w:rsidRDefault="00137E10" w:rsidP="00137E10">
      <w:pPr>
        <w:pStyle w:val="a4"/>
        <w:numPr>
          <w:ilvl w:val="0"/>
          <w:numId w:val="28"/>
        </w:numPr>
        <w:spacing w:line="560" w:lineRule="exact"/>
        <w:ind w:left="0" w:firstLine="480"/>
        <w:rPr>
          <w:rFonts w:ascii="仿宋_GB2312"/>
          <w:color w:val="000000"/>
          <w:szCs w:val="30"/>
        </w:rPr>
      </w:pPr>
      <w:r w:rsidRPr="00667D50">
        <w:rPr>
          <w:rFonts w:ascii="仿宋_GB2312" w:hint="eastAsia"/>
          <w:color w:val="000000"/>
          <w:szCs w:val="30"/>
        </w:rPr>
        <w:t>点击成交、询价成交、竞买成交、协商成交的逐笔成交行情；</w:t>
      </w:r>
    </w:p>
    <w:p w:rsidR="00137E10" w:rsidRPr="00667D50" w:rsidRDefault="00137E10" w:rsidP="00137E10">
      <w:pPr>
        <w:pStyle w:val="a4"/>
        <w:numPr>
          <w:ilvl w:val="0"/>
          <w:numId w:val="28"/>
        </w:numPr>
        <w:spacing w:line="560" w:lineRule="exact"/>
        <w:ind w:left="0" w:firstLine="480"/>
        <w:rPr>
          <w:rFonts w:ascii="仿宋_GB2312"/>
          <w:color w:val="000000"/>
          <w:szCs w:val="30"/>
        </w:rPr>
      </w:pPr>
      <w:r w:rsidRPr="00667D50">
        <w:rPr>
          <w:rFonts w:ascii="仿宋_GB2312" w:hint="eastAsia"/>
          <w:color w:val="000000"/>
          <w:szCs w:val="30"/>
        </w:rPr>
        <w:t>债券现券匹配成交大额逐笔成交行情。</w:t>
      </w:r>
    </w:p>
    <w:p w:rsidR="00137E10" w:rsidRPr="00667D50" w:rsidRDefault="00137E10" w:rsidP="00137E10">
      <w:pPr>
        <w:pStyle w:val="a5"/>
        <w:widowControl w:val="0"/>
        <w:shd w:val="clear" w:color="auto" w:fill="FFFFFF"/>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即时成交行情包括前收盘价、开盘价、当日最新成交价格、匹配成交的最新成交价格、当日最高成交价格、当日最低成交价格、当日加权平均价格、当日累计成交数量、匹配成交的累计成交数量、当日累计成交金额等。</w:t>
      </w:r>
    </w:p>
    <w:p w:rsidR="00137E10" w:rsidRPr="00667D50" w:rsidRDefault="00137E10" w:rsidP="00137E10">
      <w:pPr>
        <w:pStyle w:val="a5"/>
        <w:widowControl w:val="0"/>
        <w:shd w:val="clear" w:color="auto" w:fill="FFFFFF"/>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债券逐笔成交行情包括交易方式、成交时间、成交价格等。</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本所发布债券现券交易和债券通用质押式回购交易的开盘价和收盘价。</w:t>
      </w:r>
    </w:p>
    <w:p w:rsidR="00137E10" w:rsidRPr="00667D50" w:rsidRDefault="00137E10" w:rsidP="00137E10">
      <w:pPr>
        <w:pStyle w:val="a6"/>
        <w:ind w:firstLineChars="0" w:firstLine="600"/>
        <w:rPr>
          <w:rFonts w:hAnsi="Times New Roman"/>
          <w:sz w:val="30"/>
          <w:szCs w:val="30"/>
        </w:rPr>
      </w:pPr>
      <w:r w:rsidRPr="00667D50">
        <w:rPr>
          <w:rFonts w:hAnsi="Times New Roman" w:hint="eastAsia"/>
          <w:sz w:val="30"/>
        </w:rPr>
        <w:t>开盘价为当日第一笔成交价格。</w:t>
      </w:r>
      <w:r w:rsidRPr="00667D50">
        <w:rPr>
          <w:rFonts w:hAnsi="Times New Roman" w:hint="eastAsia"/>
          <w:sz w:val="30"/>
          <w:szCs w:val="30"/>
        </w:rPr>
        <w:t>收盘价为当日</w:t>
      </w:r>
      <w:r w:rsidRPr="00667D50">
        <w:rPr>
          <w:rFonts w:hAnsi="Times New Roman"/>
          <w:sz w:val="30"/>
          <w:szCs w:val="30"/>
        </w:rPr>
        <w:t>15:30</w:t>
      </w:r>
      <w:r w:rsidRPr="00667D50">
        <w:rPr>
          <w:rFonts w:hAnsi="Times New Roman" w:hint="eastAsia"/>
          <w:sz w:val="30"/>
          <w:szCs w:val="30"/>
        </w:rPr>
        <w:t>（含）</w:t>
      </w:r>
      <w:r w:rsidRPr="00667D50">
        <w:rPr>
          <w:rFonts w:hAnsi="Times New Roman" w:hint="eastAsia"/>
          <w:sz w:val="30"/>
          <w:szCs w:val="30"/>
        </w:rPr>
        <w:lastRenderedPageBreak/>
        <w:t>前最后一笔交易</w:t>
      </w:r>
      <w:r w:rsidRPr="00667D50">
        <w:rPr>
          <w:rFonts w:hAnsi="Times New Roman" w:hint="eastAsia"/>
          <w:sz w:val="30"/>
        </w:rPr>
        <w:t>（含）前一小时内的成交量加权平均价</w:t>
      </w:r>
      <w:r w:rsidRPr="00667D50">
        <w:rPr>
          <w:rFonts w:hAnsi="Times New Roman" w:hint="eastAsia"/>
          <w:sz w:val="30"/>
          <w:szCs w:val="30"/>
        </w:rPr>
        <w:t>，</w:t>
      </w:r>
      <w:r w:rsidRPr="00667D50">
        <w:rPr>
          <w:rFonts w:hAnsi="Times New Roman"/>
          <w:color w:val="000000"/>
          <w:sz w:val="30"/>
          <w:szCs w:val="30"/>
        </w:rPr>
        <w:t>15:30</w:t>
      </w:r>
      <w:r w:rsidRPr="00667D50">
        <w:rPr>
          <w:rFonts w:hAnsi="Times New Roman" w:hint="eastAsia"/>
          <w:sz w:val="30"/>
          <w:szCs w:val="30"/>
        </w:rPr>
        <w:t>之后的成交数据不纳入收盘价计算。</w:t>
      </w:r>
    </w:p>
    <w:p w:rsidR="00137E10" w:rsidRPr="00667D50" w:rsidRDefault="00137E10" w:rsidP="00137E10">
      <w:pPr>
        <w:pStyle w:val="a6"/>
        <w:ind w:firstLineChars="0" w:firstLine="600"/>
        <w:rPr>
          <w:rFonts w:hAnsi="Times New Roman"/>
          <w:sz w:val="30"/>
          <w:szCs w:val="30"/>
        </w:rPr>
      </w:pPr>
      <w:r w:rsidRPr="00667D50">
        <w:rPr>
          <w:rFonts w:hAnsi="Times New Roman" w:hint="eastAsia"/>
          <w:sz w:val="30"/>
          <w:szCs w:val="30"/>
        </w:rPr>
        <w:t>当日无成交的，以前收盘价为当日收盘价。开盘价和收盘价计算所采用的成交数据为各类交易方式达成的成交数据。本所另有规定的除外。</w:t>
      </w:r>
    </w:p>
    <w:p w:rsidR="00137E10" w:rsidRPr="00667D50" w:rsidRDefault="00137E10" w:rsidP="00137E10">
      <w:pPr>
        <w:pStyle w:val="a6"/>
        <w:ind w:firstLineChars="0"/>
        <w:rPr>
          <w:rFonts w:hAnsi="Times New Roman"/>
          <w:sz w:val="30"/>
          <w:szCs w:val="30"/>
        </w:rPr>
      </w:pPr>
      <w:r w:rsidRPr="00667D50">
        <w:rPr>
          <w:rFonts w:hAnsi="Times New Roman" w:hint="eastAsia"/>
          <w:sz w:val="30"/>
          <w:szCs w:val="30"/>
        </w:rPr>
        <w:t>根据市场发展需要，本所可以调整开盘价及收盘价计算方法。</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本所向市场发布债券市场基础信息，包括债券基础信息、债券交易参与人信息、做市商及做市品种信息等。</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本所或者本所授权机构可以编制各类债券指数，以反映债券交易总体价格或者某类债券价格的变动和走势，并随即时行情发布。</w:t>
      </w:r>
    </w:p>
    <w:p w:rsidR="00137E10" w:rsidRPr="00667D50" w:rsidRDefault="00137E10" w:rsidP="00137E10">
      <w:pPr>
        <w:pStyle w:val="a6"/>
        <w:ind w:firstLineChars="0" w:firstLine="600"/>
        <w:rPr>
          <w:rFonts w:hAnsi="Times New Roman"/>
          <w:sz w:val="30"/>
          <w:szCs w:val="30"/>
        </w:rPr>
      </w:pPr>
      <w:r w:rsidRPr="00667D50">
        <w:rPr>
          <w:rFonts w:hAnsi="Times New Roman" w:hint="eastAsia"/>
          <w:sz w:val="30"/>
          <w:szCs w:val="30"/>
        </w:rPr>
        <w:t>债券指数设置和编制的具体方案由本所另行规定。</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本所或者本所授权机构可以编制各类债券收益率曲线，以反映债券总体收益率水平，并及时向市场发布。</w:t>
      </w:r>
    </w:p>
    <w:p w:rsidR="00137E10" w:rsidRPr="00667D50" w:rsidRDefault="00137E10" w:rsidP="00137E10">
      <w:pPr>
        <w:pStyle w:val="a6"/>
        <w:ind w:firstLineChars="0" w:firstLine="600"/>
        <w:rPr>
          <w:rFonts w:hAnsi="Times New Roman"/>
          <w:sz w:val="30"/>
          <w:szCs w:val="30"/>
        </w:rPr>
      </w:pPr>
      <w:r w:rsidRPr="00667D50">
        <w:rPr>
          <w:rFonts w:hAnsi="Times New Roman" w:hint="eastAsia"/>
          <w:color w:val="000000"/>
          <w:sz w:val="30"/>
          <w:szCs w:val="30"/>
        </w:rPr>
        <w:t>债券收益率曲线设置和编制的具体方案由本所另行规定。</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本所债券市场产生的交易信息归本所所有。未经本所许可，任何机构或者个人不得发布、使用、传播或者经营本所债券市场产生的交易信息。</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经本所许可使用交易信息的机构和个人，未经本所同意，不得传播或者将本所债券交易信息提供给其他机构和个人使用。</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根据市场发展情况，本所可以调整债券交易信息发布的内容和方式。</w:t>
      </w:r>
    </w:p>
    <w:p w:rsidR="00137E10" w:rsidRPr="00667D50" w:rsidRDefault="00137E10" w:rsidP="00137E10">
      <w:pPr>
        <w:pStyle w:val="1"/>
        <w:keepNext w:val="0"/>
        <w:keepLines w:val="0"/>
        <w:numPr>
          <w:ilvl w:val="0"/>
          <w:numId w:val="1"/>
        </w:numPr>
        <w:spacing w:before="0" w:after="0" w:line="560" w:lineRule="exact"/>
        <w:ind w:left="748" w:hanging="748"/>
        <w:jc w:val="center"/>
        <w:rPr>
          <w:rFonts w:ascii="黑体" w:eastAsia="黑体" w:hAnsi="黑体"/>
          <w:sz w:val="30"/>
          <w:szCs w:val="30"/>
        </w:rPr>
      </w:pPr>
      <w:bookmarkStart w:id="539" w:name="_Toc18595412"/>
      <w:bookmarkStart w:id="540" w:name="_Toc27643099"/>
      <w:bookmarkEnd w:id="539"/>
      <w:r w:rsidRPr="00667D50">
        <w:rPr>
          <w:rFonts w:ascii="黑体" w:eastAsia="黑体" w:hAnsi="黑体" w:hint="eastAsia"/>
          <w:sz w:val="30"/>
          <w:szCs w:val="30"/>
        </w:rPr>
        <w:t>交易行为监督</w:t>
      </w:r>
      <w:bookmarkEnd w:id="540"/>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本所对债券交易进行实时监控，及时发现</w:t>
      </w:r>
      <w:r w:rsidRPr="00667D50">
        <w:rPr>
          <w:rFonts w:ascii="仿宋_GB2312" w:eastAsia="仿宋_GB2312" w:hAnsi="Times New Roman" w:hint="eastAsia"/>
          <w:color w:val="000000"/>
          <w:sz w:val="30"/>
          <w:szCs w:val="30"/>
        </w:rPr>
        <w:lastRenderedPageBreak/>
        <w:t>和处理异常交易行为。</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bookmarkStart w:id="541" w:name="_Ref25242273"/>
      <w:r w:rsidRPr="00667D50">
        <w:rPr>
          <w:rFonts w:ascii="仿宋_GB2312" w:eastAsia="仿宋_GB2312" w:hAnsi="Times New Roman" w:hint="eastAsia"/>
          <w:color w:val="000000"/>
          <w:sz w:val="30"/>
          <w:szCs w:val="30"/>
        </w:rPr>
        <w:t>本所对下列可能影响债券交易价格或者债券交易量的异常交易行为予以重点监控：</w:t>
      </w:r>
      <w:bookmarkEnd w:id="541"/>
    </w:p>
    <w:p w:rsidR="00137E10" w:rsidRPr="00667D50" w:rsidRDefault="00137E10" w:rsidP="00137E10">
      <w:pPr>
        <w:pStyle w:val="a6"/>
        <w:numPr>
          <w:ilvl w:val="0"/>
          <w:numId w:val="17"/>
        </w:numPr>
        <w:ind w:left="0" w:firstLine="600"/>
        <w:rPr>
          <w:rFonts w:hAnsi="Times New Roman"/>
          <w:sz w:val="30"/>
          <w:szCs w:val="30"/>
        </w:rPr>
      </w:pPr>
      <w:r w:rsidRPr="00667D50">
        <w:rPr>
          <w:rFonts w:hAnsi="Times New Roman" w:hint="eastAsia"/>
          <w:sz w:val="30"/>
          <w:szCs w:val="30"/>
        </w:rPr>
        <w:t>虚假申报，即不以成交为目的，通过大量申报并撤销等行为，以引诱、误导或者影响其他债券投资者正常交易决策的；</w:t>
      </w:r>
    </w:p>
    <w:p w:rsidR="00137E10" w:rsidRPr="00667D50" w:rsidRDefault="00137E10" w:rsidP="00137E10">
      <w:pPr>
        <w:pStyle w:val="a6"/>
        <w:numPr>
          <w:ilvl w:val="0"/>
          <w:numId w:val="17"/>
        </w:numPr>
        <w:ind w:left="0" w:firstLine="600"/>
        <w:rPr>
          <w:rFonts w:hAnsi="Times New Roman"/>
          <w:sz w:val="30"/>
          <w:szCs w:val="30"/>
        </w:rPr>
      </w:pPr>
      <w:r w:rsidRPr="00667D50">
        <w:rPr>
          <w:rFonts w:hAnsi="Times New Roman" w:hint="eastAsia"/>
          <w:sz w:val="30"/>
          <w:szCs w:val="30"/>
        </w:rPr>
        <w:t>拉抬打压，即大笔申报、连续申报、密集申报或者以明显偏离债券最新成交价的价格申报成交，期间债券交易价格明显上涨（下跌）；</w:t>
      </w:r>
    </w:p>
    <w:p w:rsidR="00137E10" w:rsidRPr="00667D50" w:rsidRDefault="00137E10" w:rsidP="00137E10">
      <w:pPr>
        <w:pStyle w:val="a6"/>
        <w:numPr>
          <w:ilvl w:val="0"/>
          <w:numId w:val="17"/>
        </w:numPr>
        <w:ind w:left="0" w:firstLine="600"/>
        <w:rPr>
          <w:rFonts w:hAnsi="Times New Roman"/>
          <w:sz w:val="30"/>
          <w:szCs w:val="30"/>
        </w:rPr>
      </w:pPr>
      <w:r w:rsidRPr="00667D50">
        <w:rPr>
          <w:rFonts w:hAnsi="Times New Roman" w:hint="eastAsia"/>
          <w:sz w:val="30"/>
          <w:szCs w:val="30"/>
        </w:rPr>
        <w:t>报价严重偏离市场合理价格，以引诱或者误导其他债券投资者交易决策的；</w:t>
      </w:r>
    </w:p>
    <w:p w:rsidR="00137E10" w:rsidRPr="00667D50" w:rsidRDefault="00137E10" w:rsidP="00137E10">
      <w:pPr>
        <w:pStyle w:val="a6"/>
        <w:numPr>
          <w:ilvl w:val="0"/>
          <w:numId w:val="17"/>
        </w:numPr>
        <w:ind w:left="0" w:firstLine="600"/>
        <w:rPr>
          <w:rFonts w:hAnsi="Times New Roman"/>
          <w:sz w:val="30"/>
          <w:szCs w:val="30"/>
        </w:rPr>
      </w:pPr>
      <w:r w:rsidRPr="00667D50">
        <w:rPr>
          <w:rFonts w:hAnsi="Times New Roman" w:hint="eastAsia"/>
          <w:sz w:val="30"/>
          <w:szCs w:val="30"/>
        </w:rPr>
        <w:t>自买自卖或者互为对手方交易，即在单个账户、自己实际控制的账户之间或者关联账户之间大量或者频繁进行债券交易，影响债券交易价格或者交易量；</w:t>
      </w:r>
    </w:p>
    <w:p w:rsidR="00137E10" w:rsidRPr="00667D50" w:rsidRDefault="00137E10" w:rsidP="00137E10">
      <w:pPr>
        <w:pStyle w:val="a6"/>
        <w:numPr>
          <w:ilvl w:val="0"/>
          <w:numId w:val="17"/>
        </w:numPr>
        <w:ind w:left="0" w:firstLine="600"/>
        <w:rPr>
          <w:rFonts w:hAnsi="Times New Roman"/>
          <w:sz w:val="30"/>
          <w:szCs w:val="30"/>
        </w:rPr>
      </w:pPr>
      <w:r w:rsidRPr="00667D50">
        <w:rPr>
          <w:rFonts w:hAnsi="Times New Roman" w:hint="eastAsia"/>
          <w:sz w:val="30"/>
          <w:szCs w:val="30"/>
        </w:rPr>
        <w:t>通过计算机程序自动生成或下达交易指令进行程序化交易，影响本所系统安全或正常交易秩序的；</w:t>
      </w:r>
    </w:p>
    <w:p w:rsidR="00137E10" w:rsidRPr="00667D50" w:rsidRDefault="00137E10" w:rsidP="00137E10">
      <w:pPr>
        <w:pStyle w:val="a6"/>
        <w:numPr>
          <w:ilvl w:val="0"/>
          <w:numId w:val="17"/>
        </w:numPr>
        <w:ind w:left="0" w:firstLine="600"/>
        <w:rPr>
          <w:rFonts w:hAnsi="Times New Roman"/>
          <w:sz w:val="30"/>
          <w:szCs w:val="30"/>
        </w:rPr>
      </w:pPr>
      <w:r w:rsidRPr="00667D50">
        <w:rPr>
          <w:rFonts w:hAnsi="Times New Roman" w:hint="eastAsia"/>
          <w:sz w:val="30"/>
          <w:szCs w:val="30"/>
        </w:rPr>
        <w:t>在债券价格敏感期内，通过异常申报，影响相关证券或其衍生品的交易价格、结算价格或者参考价值的；</w:t>
      </w:r>
    </w:p>
    <w:p w:rsidR="00137E10" w:rsidRPr="00667D50" w:rsidRDefault="00137E10" w:rsidP="00137E10">
      <w:pPr>
        <w:pStyle w:val="a6"/>
        <w:numPr>
          <w:ilvl w:val="0"/>
          <w:numId w:val="17"/>
        </w:numPr>
        <w:ind w:left="0" w:firstLine="600"/>
        <w:rPr>
          <w:rFonts w:hAnsi="Times New Roman"/>
          <w:sz w:val="30"/>
          <w:szCs w:val="30"/>
        </w:rPr>
      </w:pPr>
      <w:r w:rsidRPr="00667D50">
        <w:rPr>
          <w:rFonts w:hAnsi="Times New Roman" w:hint="eastAsia"/>
          <w:sz w:val="30"/>
          <w:szCs w:val="30"/>
        </w:rPr>
        <w:t>交易价格明显偏离合理价值，涉嫌通过债券交易进行利益输送的；</w:t>
      </w:r>
    </w:p>
    <w:p w:rsidR="00137E10" w:rsidRPr="00667D50" w:rsidRDefault="00137E10" w:rsidP="00137E10">
      <w:pPr>
        <w:pStyle w:val="a6"/>
        <w:numPr>
          <w:ilvl w:val="0"/>
          <w:numId w:val="17"/>
        </w:numPr>
        <w:ind w:left="0" w:firstLine="600"/>
        <w:rPr>
          <w:rFonts w:hAnsi="Times New Roman"/>
          <w:sz w:val="30"/>
          <w:szCs w:val="30"/>
        </w:rPr>
      </w:pPr>
      <w:r w:rsidRPr="00667D50">
        <w:rPr>
          <w:rFonts w:hAnsi="Times New Roman" w:hint="eastAsia"/>
          <w:sz w:val="30"/>
          <w:szCs w:val="30"/>
        </w:rPr>
        <w:t>涉嫌操纵市场、内幕交易、利用未公开信息进行交易等违法违规行为的；</w:t>
      </w:r>
    </w:p>
    <w:p w:rsidR="00137E10" w:rsidRPr="00667D50" w:rsidRDefault="00137E10" w:rsidP="00137E10">
      <w:pPr>
        <w:pStyle w:val="a6"/>
        <w:numPr>
          <w:ilvl w:val="0"/>
          <w:numId w:val="17"/>
        </w:numPr>
        <w:ind w:left="0" w:firstLine="600"/>
        <w:rPr>
          <w:rFonts w:hAnsi="Times New Roman"/>
          <w:sz w:val="30"/>
          <w:szCs w:val="30"/>
        </w:rPr>
      </w:pPr>
      <w:r w:rsidRPr="00667D50">
        <w:rPr>
          <w:rFonts w:hAnsi="Times New Roman" w:hint="eastAsia"/>
          <w:sz w:val="30"/>
          <w:szCs w:val="30"/>
        </w:rPr>
        <w:t>利用其他相关市场的交易影响债券交易，或利用债券市场交易影响其他相关市场交易的；</w:t>
      </w:r>
    </w:p>
    <w:p w:rsidR="00137E10" w:rsidRPr="00667D50" w:rsidRDefault="00137E10" w:rsidP="00137E10">
      <w:pPr>
        <w:pStyle w:val="a6"/>
        <w:numPr>
          <w:ilvl w:val="0"/>
          <w:numId w:val="17"/>
        </w:numPr>
        <w:ind w:left="0" w:firstLine="600"/>
        <w:rPr>
          <w:rFonts w:hAnsi="Times New Roman"/>
          <w:sz w:val="30"/>
          <w:szCs w:val="30"/>
        </w:rPr>
      </w:pPr>
      <w:r w:rsidRPr="00667D50">
        <w:rPr>
          <w:rFonts w:hAnsi="Times New Roman" w:hint="eastAsia"/>
          <w:sz w:val="30"/>
          <w:szCs w:val="30"/>
        </w:rPr>
        <w:lastRenderedPageBreak/>
        <w:t>中国证券监督管理委员会（以下简称证监会）</w:t>
      </w:r>
      <w:r w:rsidRPr="00667D50">
        <w:rPr>
          <w:rFonts w:hAnsi="Times New Roman" w:hint="eastAsia"/>
          <w:bCs/>
          <w:sz w:val="30"/>
          <w:szCs w:val="30"/>
        </w:rPr>
        <w:t>或者本所认为需要重点监控的其他情形。</w:t>
      </w:r>
    </w:p>
    <w:p w:rsidR="00137E10" w:rsidRPr="00667D50" w:rsidRDefault="00137E10" w:rsidP="00137E10">
      <w:pPr>
        <w:pStyle w:val="a6"/>
        <w:ind w:firstLine="600"/>
        <w:rPr>
          <w:rFonts w:hAnsi="Times New Roman"/>
          <w:sz w:val="30"/>
          <w:szCs w:val="30"/>
        </w:rPr>
      </w:pPr>
      <w:r w:rsidRPr="00667D50">
        <w:rPr>
          <w:rFonts w:hAnsi="Times New Roman" w:hint="eastAsia"/>
          <w:sz w:val="30"/>
          <w:szCs w:val="30"/>
        </w:rPr>
        <w:t>本所对投资者以本人名义开立或者由同一投资者实际控制的单个或者多个证券账户以及其他涉嫌关联的证券账户（组）进行合并监控。</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投资者出现第一百二十五条所列债券异常交易行为之一的，本所可以采取非现场检查和现场检查措施，要求债券交易参与人提供其开户资料、授权委托书（如有）、资金存取凭证、资金账户情况、相关交易情况等资料，说明相关情况；异常交易行为涉及经纪客户的，本所可以直接要求会员或者经纪客户提供有关材料，说明相关情况。</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会员及其营业部应当对其经纪客户的债券交易行为进行实时监控，发现经纪客户存在本规则第一百二十五条规定的异常交易行为的，应当及时予以提醒和制止，并及时向本所报告。</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债券交易参与人应当建立多指标、差异化的债券现券交易价格比较基准体系，相关比较基准包括但不限于债券估值机构的估值以及本所认可的其他公允指标，本所另有规定的除外。</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债券交易价格偏离比较基准超过本所规定范围的，债券交易参与人应当向本所提交关于价格偏离的原因以及合理性的说明。</w:t>
      </w:r>
      <w:r w:rsidRPr="00667D50">
        <w:rPr>
          <w:rFonts w:ascii="Times New Roman" w:eastAsia="仿宋_GB2312" w:hAnsi="Times New Roman" w:hint="eastAsia"/>
          <w:color w:val="000000"/>
          <w:sz w:val="30"/>
          <w:szCs w:val="30"/>
        </w:rPr>
        <w:t>本所可根据实际情况，要求债券交易参与人以及相关主体就价格偏离的其他特殊情形提交相关说明</w:t>
      </w:r>
      <w:r w:rsidRPr="00667D50">
        <w:rPr>
          <w:rFonts w:ascii="仿宋_GB2312" w:eastAsia="仿宋_GB2312" w:hAnsi="Times New Roman" w:hint="eastAsia"/>
          <w:color w:val="000000"/>
          <w:sz w:val="30"/>
          <w:szCs w:val="30"/>
        </w:rPr>
        <w:t>。</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债券交易出现争议的，相关各方可以自行</w:t>
      </w:r>
      <w:r w:rsidRPr="00667D50">
        <w:rPr>
          <w:rFonts w:ascii="仿宋_GB2312" w:eastAsia="仿宋_GB2312" w:hAnsi="Times New Roman" w:hint="eastAsia"/>
          <w:color w:val="000000"/>
          <w:sz w:val="30"/>
          <w:szCs w:val="30"/>
        </w:rPr>
        <w:lastRenderedPageBreak/>
        <w:t>协商解决。无法通过协商解决的，可以按照相关法律法规规定或者约定提请调解、仲裁或者诉讼。</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pPr>
      <w:r w:rsidRPr="00667D50">
        <w:rPr>
          <w:rFonts w:ascii="仿宋_GB2312" w:eastAsia="仿宋_GB2312" w:hAnsi="Times New Roman" w:hint="eastAsia"/>
          <w:color w:val="000000"/>
          <w:sz w:val="30"/>
          <w:szCs w:val="30"/>
        </w:rPr>
        <w:t>本所可以按照相关规定提供必要的交易数据。</w:t>
      </w:r>
      <w:bookmarkStart w:id="542" w:name="_Toc22572963"/>
      <w:bookmarkStart w:id="543" w:name="_Toc18595414"/>
      <w:bookmarkStart w:id="544" w:name="_Toc22573219"/>
      <w:bookmarkStart w:id="545" w:name="_Toc22662874"/>
      <w:bookmarkStart w:id="546" w:name="_Toc22573047"/>
      <w:bookmarkEnd w:id="542"/>
      <w:bookmarkEnd w:id="543"/>
      <w:bookmarkEnd w:id="544"/>
      <w:bookmarkEnd w:id="545"/>
      <w:bookmarkEnd w:id="546"/>
    </w:p>
    <w:p w:rsidR="00137E10" w:rsidRPr="00667D50" w:rsidRDefault="00137E10" w:rsidP="00137E10">
      <w:pPr>
        <w:pStyle w:val="1"/>
        <w:keepNext w:val="0"/>
        <w:keepLines w:val="0"/>
        <w:numPr>
          <w:ilvl w:val="0"/>
          <w:numId w:val="1"/>
        </w:numPr>
        <w:spacing w:before="0" w:after="0" w:line="560" w:lineRule="exact"/>
        <w:ind w:left="748" w:hanging="748"/>
        <w:jc w:val="center"/>
        <w:rPr>
          <w:rFonts w:ascii="黑体" w:eastAsia="黑体" w:hAnsi="黑体"/>
          <w:sz w:val="30"/>
          <w:szCs w:val="30"/>
        </w:rPr>
      </w:pPr>
      <w:r w:rsidRPr="00667D50">
        <w:rPr>
          <w:rFonts w:ascii="黑体" w:eastAsia="黑体" w:hAnsi="黑体" w:hint="eastAsia"/>
          <w:sz w:val="30"/>
          <w:szCs w:val="30"/>
        </w:rPr>
        <w:t>交易异常情况处置</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因不可抗力、意外事件、重大技术故障、重大人为差错等突发性事件，影响本所债券交易正常进行或者导致债券交易结果出现重大异常的，本所为维护债券交易正常秩序和市场公平，可以采取下列处置措施：</w:t>
      </w:r>
    </w:p>
    <w:p w:rsidR="00137E10" w:rsidRPr="00667D50" w:rsidRDefault="00137E10" w:rsidP="00137E10">
      <w:pPr>
        <w:pStyle w:val="a6"/>
        <w:numPr>
          <w:ilvl w:val="0"/>
          <w:numId w:val="29"/>
        </w:numPr>
        <w:ind w:left="0" w:firstLine="600"/>
        <w:rPr>
          <w:rFonts w:hAnsi="Times New Roman"/>
          <w:color w:val="000000"/>
          <w:sz w:val="30"/>
          <w:szCs w:val="30"/>
        </w:rPr>
      </w:pPr>
      <w:r w:rsidRPr="00667D50">
        <w:rPr>
          <w:rFonts w:hAnsi="Times New Roman" w:hint="eastAsia"/>
          <w:color w:val="000000"/>
          <w:sz w:val="30"/>
          <w:szCs w:val="30"/>
        </w:rPr>
        <w:t>对部分债券交易品种采取技术性停牌措施；</w:t>
      </w:r>
    </w:p>
    <w:p w:rsidR="00137E10" w:rsidRPr="00667D50" w:rsidRDefault="00137E10" w:rsidP="00137E10">
      <w:pPr>
        <w:pStyle w:val="a6"/>
        <w:numPr>
          <w:ilvl w:val="0"/>
          <w:numId w:val="29"/>
        </w:numPr>
        <w:ind w:left="0" w:firstLine="600"/>
        <w:rPr>
          <w:rFonts w:hAnsi="Times New Roman"/>
          <w:sz w:val="30"/>
          <w:szCs w:val="30"/>
        </w:rPr>
      </w:pPr>
      <w:r w:rsidRPr="00667D50">
        <w:rPr>
          <w:rFonts w:hAnsi="Times New Roman" w:hint="eastAsia"/>
          <w:sz w:val="30"/>
          <w:szCs w:val="30"/>
        </w:rPr>
        <w:t>采取临时停市措施；</w:t>
      </w:r>
    </w:p>
    <w:p w:rsidR="00137E10" w:rsidRPr="00667D50" w:rsidRDefault="00137E10" w:rsidP="00137E10">
      <w:pPr>
        <w:pStyle w:val="a6"/>
        <w:numPr>
          <w:ilvl w:val="0"/>
          <w:numId w:val="29"/>
        </w:numPr>
        <w:ind w:left="0" w:firstLine="600"/>
        <w:rPr>
          <w:rFonts w:hAnsi="Times New Roman"/>
          <w:color w:val="000000"/>
          <w:sz w:val="30"/>
          <w:szCs w:val="30"/>
        </w:rPr>
      </w:pPr>
      <w:r w:rsidRPr="00667D50">
        <w:rPr>
          <w:rFonts w:hAnsi="Times New Roman" w:hint="eastAsia"/>
          <w:sz w:val="30"/>
          <w:szCs w:val="30"/>
        </w:rPr>
        <w:t>上述突发性事</w:t>
      </w:r>
      <w:r w:rsidRPr="00667D50">
        <w:rPr>
          <w:rFonts w:hAnsi="Times New Roman" w:hint="eastAsia"/>
          <w:color w:val="000000"/>
          <w:sz w:val="30"/>
          <w:szCs w:val="30"/>
        </w:rPr>
        <w:t>件导致债券交易结果出现重大异常，按照交易结果进行交收将对债券交易正常秩序和市场公平造成重大影响的，本所可以采取取消交易、通知登记结算机构暂缓交收等措施；</w:t>
      </w:r>
    </w:p>
    <w:p w:rsidR="00137E10" w:rsidRPr="00667D50" w:rsidRDefault="00137E10" w:rsidP="00137E10">
      <w:pPr>
        <w:pStyle w:val="a6"/>
        <w:numPr>
          <w:ilvl w:val="0"/>
          <w:numId w:val="29"/>
        </w:numPr>
        <w:ind w:left="0" w:firstLine="600"/>
        <w:rPr>
          <w:rFonts w:hAnsi="Times New Roman"/>
          <w:color w:val="000000"/>
          <w:sz w:val="30"/>
          <w:szCs w:val="30"/>
        </w:rPr>
      </w:pPr>
      <w:r w:rsidRPr="00667D50">
        <w:rPr>
          <w:rFonts w:hAnsi="Times New Roman" w:hint="eastAsia"/>
          <w:color w:val="000000"/>
          <w:sz w:val="30"/>
          <w:szCs w:val="30"/>
        </w:rPr>
        <w:t>本所为处置突发性事件、维护债券交易正常秩序和市场公平采取的其他必要措施。</w:t>
      </w:r>
    </w:p>
    <w:p w:rsidR="00137E10" w:rsidRPr="00667D50" w:rsidRDefault="00137E10" w:rsidP="00137E10">
      <w:pPr>
        <w:pStyle w:val="a6"/>
        <w:adjustRightInd w:val="0"/>
        <w:snapToGrid w:val="0"/>
        <w:ind w:firstLineChars="0"/>
        <w:rPr>
          <w:rFonts w:hAnsi="Times New Roman"/>
          <w:color w:val="000000"/>
          <w:sz w:val="30"/>
          <w:szCs w:val="30"/>
        </w:rPr>
      </w:pPr>
      <w:r w:rsidRPr="00667D50">
        <w:rPr>
          <w:rFonts w:hAnsi="Times New Roman" w:hint="eastAsia"/>
          <w:sz w:val="30"/>
          <w:szCs w:val="30"/>
        </w:rPr>
        <w:t>突发性事件的具体认定标准、处置程序等，由本所另行规定。</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本所加强对债券交易的风险监测，出现重大异常波动的，可以采取下列处置措施：</w:t>
      </w:r>
    </w:p>
    <w:p w:rsidR="00137E10" w:rsidRPr="00667D50" w:rsidRDefault="00137E10" w:rsidP="00137E10">
      <w:pPr>
        <w:pStyle w:val="a6"/>
        <w:numPr>
          <w:ilvl w:val="0"/>
          <w:numId w:val="30"/>
        </w:numPr>
        <w:ind w:left="0" w:firstLine="600"/>
        <w:rPr>
          <w:rFonts w:hAnsi="Times New Roman"/>
          <w:color w:val="000000"/>
          <w:sz w:val="30"/>
          <w:szCs w:val="30"/>
        </w:rPr>
      </w:pPr>
      <w:r w:rsidRPr="00667D50">
        <w:rPr>
          <w:rFonts w:hAnsi="Times New Roman" w:hint="eastAsia"/>
          <w:color w:val="000000"/>
          <w:sz w:val="30"/>
          <w:szCs w:val="30"/>
        </w:rPr>
        <w:t>限制部分债券投资者的交易；</w:t>
      </w:r>
    </w:p>
    <w:p w:rsidR="00137E10" w:rsidRPr="00667D50" w:rsidRDefault="00137E10" w:rsidP="00137E10">
      <w:pPr>
        <w:pStyle w:val="a6"/>
        <w:numPr>
          <w:ilvl w:val="0"/>
          <w:numId w:val="30"/>
        </w:numPr>
        <w:ind w:left="0" w:firstLine="600"/>
        <w:rPr>
          <w:rFonts w:hAnsi="Times New Roman"/>
          <w:color w:val="000000"/>
          <w:sz w:val="30"/>
          <w:szCs w:val="30"/>
        </w:rPr>
      </w:pPr>
      <w:r w:rsidRPr="00667D50">
        <w:rPr>
          <w:rFonts w:hAnsi="Times New Roman" w:hint="eastAsia"/>
          <w:color w:val="000000"/>
          <w:sz w:val="30"/>
          <w:szCs w:val="30"/>
        </w:rPr>
        <w:t>对部分债券交易品种采取强制停牌措施；</w:t>
      </w:r>
    </w:p>
    <w:p w:rsidR="00137E10" w:rsidRPr="00667D50" w:rsidRDefault="00137E10" w:rsidP="00137E10">
      <w:pPr>
        <w:pStyle w:val="a6"/>
        <w:numPr>
          <w:ilvl w:val="0"/>
          <w:numId w:val="30"/>
        </w:numPr>
        <w:ind w:left="0" w:firstLine="600"/>
        <w:rPr>
          <w:rFonts w:hAnsi="Times New Roman"/>
          <w:color w:val="000000"/>
          <w:sz w:val="30"/>
          <w:szCs w:val="30"/>
        </w:rPr>
      </w:pPr>
      <w:r w:rsidRPr="00667D50">
        <w:rPr>
          <w:rFonts w:hAnsi="Times New Roman" w:hint="eastAsia"/>
          <w:color w:val="000000"/>
          <w:sz w:val="30"/>
          <w:szCs w:val="30"/>
        </w:rPr>
        <w:t>出现严重影响市场稳定情形的，采取临时停市措施；</w:t>
      </w:r>
    </w:p>
    <w:p w:rsidR="00137E10" w:rsidRPr="00667D50" w:rsidRDefault="00137E10" w:rsidP="00137E10">
      <w:pPr>
        <w:pStyle w:val="a6"/>
        <w:numPr>
          <w:ilvl w:val="0"/>
          <w:numId w:val="30"/>
        </w:numPr>
        <w:ind w:left="0" w:firstLine="600"/>
        <w:rPr>
          <w:rFonts w:hAnsi="Times New Roman"/>
          <w:color w:val="000000"/>
          <w:sz w:val="30"/>
          <w:szCs w:val="30"/>
        </w:rPr>
      </w:pPr>
      <w:r w:rsidRPr="00667D50">
        <w:rPr>
          <w:rFonts w:hAnsi="Times New Roman" w:hint="eastAsia"/>
          <w:color w:val="000000"/>
          <w:sz w:val="30"/>
          <w:szCs w:val="30"/>
        </w:rPr>
        <w:t>本所为处置重大异常波动、维护债券市场稳定采取的其他必要措施。</w:t>
      </w:r>
    </w:p>
    <w:p w:rsidR="00137E10" w:rsidRPr="00667D50" w:rsidRDefault="00137E10" w:rsidP="00137E10">
      <w:pPr>
        <w:pStyle w:val="a5"/>
        <w:shd w:val="clear" w:color="auto" w:fill="FFFFFF"/>
        <w:adjustRightInd w:val="0"/>
        <w:snapToGrid w:val="0"/>
        <w:spacing w:before="0" w:beforeAutospacing="0" w:after="0" w:afterAutospacing="0" w:line="560" w:lineRule="exact"/>
        <w:ind w:firstLineChars="200" w:firstLine="600"/>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lastRenderedPageBreak/>
        <w:t>重大异常波动的具体认定标准、处置程序等，由本所另行规定。</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债券交易发生突发性事件、重大异常波动，本所应当及时向证监会报告事件发生情况、事件产生或者可能产生的影响、采取的处置措施以及其效果等。</w:t>
      </w:r>
    </w:p>
    <w:p w:rsidR="00137E10" w:rsidRPr="00667D50" w:rsidRDefault="00137E10" w:rsidP="00137E10">
      <w:pPr>
        <w:pStyle w:val="a5"/>
        <w:shd w:val="clear" w:color="auto" w:fill="FFFFFF"/>
        <w:adjustRightInd w:val="0"/>
        <w:snapToGrid w:val="0"/>
        <w:spacing w:before="0" w:beforeAutospacing="0" w:after="0" w:afterAutospacing="0" w:line="560" w:lineRule="exact"/>
        <w:ind w:firstLineChars="200" w:firstLine="600"/>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本所处置突发性事件、重大异常波动所采取的措施应当及时予以公告，但影响处置、市场秩序和市场稳定等的除外。</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停牌或者临时停市原因消除后，本所恢复债券交易。</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除本所认定的特殊情况外，停牌或者临时停市后当日恢复债券交易的，停牌或者临时停市前交易系统已经接受的申报有效。</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本所处置突发性事件、重大异常波动采取措施造成的损失，本所不承担民事赔偿责任</w:t>
      </w:r>
      <w:r w:rsidRPr="00667D50">
        <w:rPr>
          <w:rFonts w:ascii="仿宋_GB2312" w:eastAsia="仿宋_GB2312" w:hAnsi="Times New Roman" w:cs="Times New Roman" w:hint="eastAsia"/>
          <w:kern w:val="2"/>
          <w:sz w:val="30"/>
          <w:szCs w:val="30"/>
        </w:rPr>
        <w:t>，但本所存在重大过错的情形除外</w:t>
      </w:r>
      <w:r w:rsidRPr="00667D50">
        <w:rPr>
          <w:rFonts w:ascii="仿宋_GB2312" w:eastAsia="仿宋_GB2312" w:hAnsi="Times New Roman" w:cs="Times New Roman" w:hint="eastAsia"/>
          <w:sz w:val="30"/>
          <w:szCs w:val="30"/>
        </w:rPr>
        <w:t>。</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债券交易参与人因技术故障等原因无法向交易系统发送交易申报的，可以通过本所提供的其他辅助申报方式向本所提交应急申报。</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hint="eastAsia"/>
          <w:color w:val="000000"/>
          <w:sz w:val="30"/>
          <w:szCs w:val="30"/>
        </w:rPr>
        <w:t>本所根据应急申报进行成交确认的，交易双方应当承认成交结果，履行清算交收义务。</w:t>
      </w:r>
    </w:p>
    <w:p w:rsidR="00137E10" w:rsidRPr="00667D50" w:rsidRDefault="00137E10" w:rsidP="00137E10">
      <w:pPr>
        <w:pStyle w:val="1"/>
        <w:keepNext w:val="0"/>
        <w:keepLines w:val="0"/>
        <w:numPr>
          <w:ilvl w:val="0"/>
          <w:numId w:val="1"/>
        </w:numPr>
        <w:spacing w:before="0" w:after="0" w:line="560" w:lineRule="exact"/>
        <w:ind w:left="748" w:hanging="748"/>
        <w:jc w:val="center"/>
        <w:rPr>
          <w:rFonts w:ascii="黑体" w:eastAsia="黑体" w:hAnsi="黑体"/>
          <w:sz w:val="30"/>
          <w:szCs w:val="30"/>
        </w:rPr>
      </w:pPr>
      <w:bookmarkStart w:id="547" w:name="_Toc18595416"/>
      <w:bookmarkStart w:id="548" w:name="_Toc27643101"/>
      <w:bookmarkEnd w:id="547"/>
      <w:r w:rsidRPr="00667D50">
        <w:rPr>
          <w:rFonts w:ascii="黑体" w:eastAsia="黑体" w:hAnsi="黑体" w:hint="eastAsia"/>
          <w:sz w:val="30"/>
          <w:szCs w:val="30"/>
        </w:rPr>
        <w:t>监管措施和纪律处分</w:t>
      </w:r>
      <w:bookmarkEnd w:id="548"/>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本所可以对监管对象单独或者合并采取下列日常工作措施，监管对象应当予以配合：</w:t>
      </w:r>
    </w:p>
    <w:p w:rsidR="00137E10" w:rsidRPr="00667D50" w:rsidRDefault="00137E10" w:rsidP="00137E10">
      <w:pPr>
        <w:numPr>
          <w:ilvl w:val="0"/>
          <w:numId w:val="18"/>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要求对有关问题作出解释和说明；</w:t>
      </w:r>
    </w:p>
    <w:p w:rsidR="00137E10" w:rsidRPr="00667D50" w:rsidRDefault="00137E10" w:rsidP="00137E10">
      <w:pPr>
        <w:numPr>
          <w:ilvl w:val="0"/>
          <w:numId w:val="18"/>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lastRenderedPageBreak/>
        <w:t>要求提供相关文件或者资料；</w:t>
      </w:r>
    </w:p>
    <w:p w:rsidR="00137E10" w:rsidRPr="00667D50" w:rsidRDefault="00137E10" w:rsidP="00137E10">
      <w:pPr>
        <w:numPr>
          <w:ilvl w:val="0"/>
          <w:numId w:val="18"/>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约见有关人员；</w:t>
      </w:r>
    </w:p>
    <w:p w:rsidR="00137E10" w:rsidRPr="00667D50" w:rsidRDefault="00137E10" w:rsidP="00137E10">
      <w:pPr>
        <w:numPr>
          <w:ilvl w:val="0"/>
          <w:numId w:val="18"/>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调阅、查看交易相关资料；</w:t>
      </w:r>
    </w:p>
    <w:p w:rsidR="00137E10" w:rsidRPr="00667D50" w:rsidRDefault="00137E10" w:rsidP="00137E10">
      <w:pPr>
        <w:numPr>
          <w:ilvl w:val="0"/>
          <w:numId w:val="18"/>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发出规范交易建议书；</w:t>
      </w:r>
    </w:p>
    <w:p w:rsidR="00137E10" w:rsidRPr="00667D50" w:rsidRDefault="00137E10" w:rsidP="00137E10">
      <w:pPr>
        <w:numPr>
          <w:ilvl w:val="0"/>
          <w:numId w:val="18"/>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向有关单位通报相关情况；</w:t>
      </w:r>
    </w:p>
    <w:p w:rsidR="00137E10" w:rsidRPr="00667D50" w:rsidRDefault="00137E10" w:rsidP="00137E10">
      <w:pPr>
        <w:numPr>
          <w:ilvl w:val="0"/>
          <w:numId w:val="18"/>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其他日常工作措施。</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本所可以根据需要对监管对象进行非现场检查和现场检查。相关监管对象应当配合本所进行相关检查，真实、准确、完整、及时地提供有关文件和资料，说明相关情况。</w:t>
      </w:r>
    </w:p>
    <w:p w:rsidR="00137E10" w:rsidRPr="00667D50" w:rsidRDefault="00137E10" w:rsidP="00137E10">
      <w:pPr>
        <w:spacing w:line="560" w:lineRule="exact"/>
        <w:ind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前款所述现场检查，是指本所在监管对象从事本规则规定的债券交易、提供专业服务的场所以及其他相关场所，采取查阅、复制文件和资料、查看实物、谈话及询问等方式，对监管对象的债券交易、提供专业服务及相关业务开展的规范运作情况或者履职情况进行监督检查。</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监管对象违反法律、行政法规、部门规章、规范性文件和本所相关业务规则规定或者严重扰乱市场交易秩序的，本所可以报请证监会冻结相关证券账户、资金账户，或者报请证监会查处。</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监管对象违反本规则或者本所其他相关业务规则规定的，本所可以视情节轻重对其采取下列监管措施：</w:t>
      </w:r>
    </w:p>
    <w:p w:rsidR="00137E10" w:rsidRPr="00667D50" w:rsidRDefault="00137E10" w:rsidP="00137E10">
      <w:pPr>
        <w:numPr>
          <w:ilvl w:val="0"/>
          <w:numId w:val="19"/>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口头警示；</w:t>
      </w:r>
    </w:p>
    <w:p w:rsidR="00137E10" w:rsidRPr="00667D50" w:rsidRDefault="00137E10" w:rsidP="00137E10">
      <w:pPr>
        <w:numPr>
          <w:ilvl w:val="0"/>
          <w:numId w:val="19"/>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书面警示；</w:t>
      </w:r>
    </w:p>
    <w:p w:rsidR="00137E10" w:rsidRPr="00667D50" w:rsidRDefault="00137E10" w:rsidP="00137E10">
      <w:pPr>
        <w:numPr>
          <w:ilvl w:val="0"/>
          <w:numId w:val="19"/>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监管谈话；</w:t>
      </w:r>
    </w:p>
    <w:p w:rsidR="00137E10" w:rsidRPr="00667D50" w:rsidRDefault="00137E10" w:rsidP="00137E10">
      <w:pPr>
        <w:numPr>
          <w:ilvl w:val="0"/>
          <w:numId w:val="19"/>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要求限期改正；</w:t>
      </w:r>
    </w:p>
    <w:p w:rsidR="00137E10" w:rsidRPr="00667D50" w:rsidRDefault="00137E10" w:rsidP="00137E10">
      <w:pPr>
        <w:numPr>
          <w:ilvl w:val="0"/>
          <w:numId w:val="19"/>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lastRenderedPageBreak/>
        <w:t>要求公开更正、澄清或者说明；</w:t>
      </w:r>
    </w:p>
    <w:p w:rsidR="00137E10" w:rsidRPr="00667D50" w:rsidRDefault="00137E10" w:rsidP="00137E10">
      <w:pPr>
        <w:numPr>
          <w:ilvl w:val="0"/>
          <w:numId w:val="19"/>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将账户列为重点监控账户；</w:t>
      </w:r>
    </w:p>
    <w:p w:rsidR="00137E10" w:rsidRPr="00667D50" w:rsidRDefault="00137E10" w:rsidP="00137E10">
      <w:pPr>
        <w:numPr>
          <w:ilvl w:val="0"/>
          <w:numId w:val="19"/>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要求提交合规交易承诺书；</w:t>
      </w:r>
    </w:p>
    <w:p w:rsidR="00137E10" w:rsidRPr="00667D50" w:rsidRDefault="00137E10" w:rsidP="00137E10">
      <w:pPr>
        <w:numPr>
          <w:ilvl w:val="0"/>
          <w:numId w:val="19"/>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暂停证券账户交易；</w:t>
      </w:r>
    </w:p>
    <w:p w:rsidR="00137E10" w:rsidRPr="00667D50" w:rsidRDefault="00137E10" w:rsidP="00137E10">
      <w:pPr>
        <w:numPr>
          <w:ilvl w:val="0"/>
          <w:numId w:val="19"/>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暂停受理或者办理相关业务；</w:t>
      </w:r>
    </w:p>
    <w:p w:rsidR="00137E10" w:rsidRPr="00667D50" w:rsidRDefault="00137E10" w:rsidP="00137E10">
      <w:pPr>
        <w:numPr>
          <w:ilvl w:val="0"/>
          <w:numId w:val="19"/>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向相关主管部门出具监管建议函；</w:t>
      </w:r>
    </w:p>
    <w:p w:rsidR="00137E10" w:rsidRPr="00667D50" w:rsidRDefault="00137E10" w:rsidP="00137E10">
      <w:pPr>
        <w:numPr>
          <w:ilvl w:val="0"/>
          <w:numId w:val="19"/>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本所规定的其他监管措施。</w:t>
      </w:r>
    </w:p>
    <w:p w:rsidR="00137E10" w:rsidRPr="00667D50" w:rsidRDefault="00137E10" w:rsidP="00137E10">
      <w:pPr>
        <w:spacing w:line="560" w:lineRule="exact"/>
        <w:ind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监管对象被采取前款第（八）项规定的监管措施后，拒不配合本所监管的，在其改正前，本所可以对其连续实施该监管措施。</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监管对象违反本规则或者本所其他相关业务规则规定的，本所可以视情节轻重对其实施下列纪律处分：</w:t>
      </w:r>
    </w:p>
    <w:p w:rsidR="00137E10" w:rsidRPr="00667D50" w:rsidRDefault="00137E10" w:rsidP="00137E10">
      <w:pPr>
        <w:numPr>
          <w:ilvl w:val="0"/>
          <w:numId w:val="20"/>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通报批评；</w:t>
      </w:r>
    </w:p>
    <w:p w:rsidR="00137E10" w:rsidRPr="00667D50" w:rsidRDefault="00137E10" w:rsidP="00137E10">
      <w:pPr>
        <w:numPr>
          <w:ilvl w:val="0"/>
          <w:numId w:val="20"/>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公开谴责；</w:t>
      </w:r>
    </w:p>
    <w:p w:rsidR="00137E10" w:rsidRPr="00667D50" w:rsidRDefault="00137E10" w:rsidP="00137E10">
      <w:pPr>
        <w:numPr>
          <w:ilvl w:val="0"/>
          <w:numId w:val="20"/>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暂停或者限制债券交易权限；</w:t>
      </w:r>
    </w:p>
    <w:p w:rsidR="00137E10" w:rsidRPr="00667D50" w:rsidRDefault="00137E10" w:rsidP="00137E10">
      <w:pPr>
        <w:numPr>
          <w:ilvl w:val="0"/>
          <w:numId w:val="20"/>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终止其作为债券交易参与人；</w:t>
      </w:r>
    </w:p>
    <w:p w:rsidR="00137E10" w:rsidRPr="00667D50" w:rsidRDefault="00137E10" w:rsidP="00137E10">
      <w:pPr>
        <w:numPr>
          <w:ilvl w:val="0"/>
          <w:numId w:val="20"/>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限制证券账户交易；</w:t>
      </w:r>
    </w:p>
    <w:p w:rsidR="00137E10" w:rsidRPr="00667D50" w:rsidRDefault="00137E10" w:rsidP="00137E10">
      <w:pPr>
        <w:numPr>
          <w:ilvl w:val="0"/>
          <w:numId w:val="20"/>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认定为不合格投资者；</w:t>
      </w:r>
    </w:p>
    <w:p w:rsidR="00137E10" w:rsidRPr="00667D50" w:rsidRDefault="00137E10" w:rsidP="00137E10">
      <w:pPr>
        <w:numPr>
          <w:ilvl w:val="0"/>
          <w:numId w:val="20"/>
        </w:numPr>
        <w:spacing w:line="560" w:lineRule="exact"/>
        <w:ind w:left="0" w:firstLineChars="200" w:firstLine="600"/>
        <w:rPr>
          <w:rFonts w:ascii="仿宋_GB2312" w:eastAsia="仿宋_GB2312" w:hAnsi="Times New Roman" w:cs="宋体"/>
          <w:color w:val="000000"/>
          <w:kern w:val="0"/>
          <w:sz w:val="30"/>
          <w:szCs w:val="30"/>
        </w:rPr>
      </w:pPr>
      <w:r w:rsidRPr="00667D50">
        <w:rPr>
          <w:rFonts w:ascii="仿宋_GB2312" w:eastAsia="仿宋_GB2312" w:hAnsi="Times New Roman" w:cs="宋体" w:hint="eastAsia"/>
          <w:color w:val="000000"/>
          <w:kern w:val="0"/>
          <w:sz w:val="30"/>
          <w:szCs w:val="30"/>
        </w:rPr>
        <w:t>收取惩罚性违约金；</w:t>
      </w:r>
    </w:p>
    <w:p w:rsidR="00137E10" w:rsidRPr="00667D50" w:rsidRDefault="00137E10" w:rsidP="00137E10">
      <w:pPr>
        <w:numPr>
          <w:ilvl w:val="0"/>
          <w:numId w:val="20"/>
        </w:numPr>
        <w:spacing w:line="560" w:lineRule="exact"/>
        <w:ind w:left="0" w:firstLineChars="200" w:firstLine="600"/>
        <w:rPr>
          <w:rFonts w:ascii="仿宋_GB2312" w:eastAsia="仿宋_GB2312" w:hAnsi="Times New Roman" w:cs="宋体"/>
          <w:color w:val="000000"/>
          <w:kern w:val="0"/>
          <w:sz w:val="30"/>
          <w:szCs w:val="30"/>
        </w:rPr>
      </w:pPr>
      <w:bookmarkStart w:id="549" w:name="_Hlk21248723"/>
      <w:r w:rsidRPr="00667D50">
        <w:rPr>
          <w:rFonts w:ascii="仿宋_GB2312" w:eastAsia="仿宋_GB2312" w:hAnsi="Times New Roman" w:cs="宋体" w:hint="eastAsia"/>
          <w:color w:val="000000"/>
          <w:kern w:val="0"/>
          <w:sz w:val="30"/>
          <w:szCs w:val="30"/>
        </w:rPr>
        <w:t>本所规定的其他纪律处分。</w:t>
      </w:r>
    </w:p>
    <w:bookmarkEnd w:id="549"/>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监管对象出现下列情形之一的，本所可以将其记入诚信档案：</w:t>
      </w:r>
    </w:p>
    <w:p w:rsidR="00137E10" w:rsidRPr="00667D50" w:rsidRDefault="00137E10" w:rsidP="00137E10">
      <w:pPr>
        <w:pStyle w:val="a5"/>
        <w:widowControl w:val="0"/>
        <w:numPr>
          <w:ilvl w:val="0"/>
          <w:numId w:val="21"/>
        </w:numPr>
        <w:shd w:val="clear" w:color="auto" w:fill="FFFFFF"/>
        <w:adjustRightInd w:val="0"/>
        <w:snapToGrid w:val="0"/>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屡次达成交易或者达成重大交易却不履行交收义务的；</w:t>
      </w:r>
    </w:p>
    <w:p w:rsidR="00137E10" w:rsidRPr="00667D50" w:rsidRDefault="00137E10" w:rsidP="00137E10">
      <w:pPr>
        <w:pStyle w:val="a5"/>
        <w:widowControl w:val="0"/>
        <w:numPr>
          <w:ilvl w:val="0"/>
          <w:numId w:val="21"/>
        </w:numPr>
        <w:shd w:val="clear" w:color="auto" w:fill="FFFFFF"/>
        <w:adjustRightInd w:val="0"/>
        <w:snapToGrid w:val="0"/>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t>被本所实施监管措施或者纪律处分的；</w:t>
      </w:r>
    </w:p>
    <w:p w:rsidR="00137E10" w:rsidRPr="00667D50" w:rsidRDefault="00137E10" w:rsidP="00137E10">
      <w:pPr>
        <w:pStyle w:val="a5"/>
        <w:widowControl w:val="0"/>
        <w:numPr>
          <w:ilvl w:val="0"/>
          <w:numId w:val="21"/>
        </w:numPr>
        <w:shd w:val="clear" w:color="auto" w:fill="FFFFFF"/>
        <w:adjustRightInd w:val="0"/>
        <w:snapToGrid w:val="0"/>
        <w:spacing w:before="0" w:beforeAutospacing="0" w:after="0" w:afterAutospacing="0" w:line="560" w:lineRule="exact"/>
        <w:ind w:left="0" w:firstLineChars="200" w:firstLine="600"/>
        <w:jc w:val="both"/>
        <w:rPr>
          <w:rFonts w:ascii="仿宋_GB2312" w:eastAsia="仿宋_GB2312" w:hAnsi="Times New Roman"/>
          <w:color w:val="000000"/>
          <w:sz w:val="30"/>
          <w:szCs w:val="30"/>
        </w:rPr>
      </w:pPr>
      <w:r w:rsidRPr="00667D50">
        <w:rPr>
          <w:rFonts w:ascii="仿宋_GB2312" w:eastAsia="仿宋_GB2312" w:hAnsi="Times New Roman" w:hint="eastAsia"/>
          <w:color w:val="000000"/>
          <w:sz w:val="30"/>
          <w:szCs w:val="30"/>
        </w:rPr>
        <w:lastRenderedPageBreak/>
        <w:t>本所规定的其他情形。</w:t>
      </w:r>
    </w:p>
    <w:p w:rsidR="00137E10" w:rsidRPr="00667D50" w:rsidRDefault="00137E10" w:rsidP="00137E10">
      <w:pPr>
        <w:pStyle w:val="1"/>
        <w:keepNext w:val="0"/>
        <w:keepLines w:val="0"/>
        <w:numPr>
          <w:ilvl w:val="0"/>
          <w:numId w:val="1"/>
        </w:numPr>
        <w:spacing w:before="0" w:after="0" w:line="560" w:lineRule="exact"/>
        <w:ind w:left="748" w:hanging="748"/>
        <w:jc w:val="center"/>
        <w:rPr>
          <w:rFonts w:ascii="黑体" w:eastAsia="黑体" w:hAnsi="黑体"/>
          <w:sz w:val="30"/>
          <w:szCs w:val="30"/>
        </w:rPr>
      </w:pPr>
      <w:bookmarkStart w:id="550" w:name="_Toc24638133"/>
      <w:bookmarkStart w:id="551" w:name="_Toc27643102"/>
      <w:bookmarkEnd w:id="550"/>
      <w:r w:rsidRPr="00667D50">
        <w:rPr>
          <w:rFonts w:ascii="黑体" w:eastAsia="黑体" w:hAnsi="黑体" w:hint="eastAsia"/>
          <w:sz w:val="30"/>
          <w:szCs w:val="30"/>
        </w:rPr>
        <w:t>附则</w:t>
      </w:r>
      <w:bookmarkEnd w:id="551"/>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本规则相关术语的含义：</w:t>
      </w:r>
    </w:p>
    <w:p w:rsidR="00137E10" w:rsidRPr="00667D50" w:rsidRDefault="00137E10" w:rsidP="00137E10">
      <w:pPr>
        <w:pStyle w:val="a6"/>
        <w:numPr>
          <w:ilvl w:val="0"/>
          <w:numId w:val="22"/>
        </w:numPr>
        <w:ind w:firstLine="600"/>
        <w:rPr>
          <w:rFonts w:hAnsi="Times New Roman"/>
          <w:color w:val="000000"/>
          <w:sz w:val="30"/>
          <w:szCs w:val="30"/>
        </w:rPr>
      </w:pPr>
      <w:r w:rsidRPr="00667D50">
        <w:rPr>
          <w:rFonts w:hAnsi="Times New Roman" w:hint="eastAsia"/>
          <w:sz w:val="30"/>
          <w:szCs w:val="30"/>
        </w:rPr>
        <w:t>基准做市品种：本所指定的做市债券品种，包括关键期限政府债券、公司债券等。</w:t>
      </w:r>
    </w:p>
    <w:p w:rsidR="00137E10" w:rsidRPr="00667D50" w:rsidRDefault="00137E10" w:rsidP="00137E10">
      <w:pPr>
        <w:pStyle w:val="a6"/>
        <w:numPr>
          <w:ilvl w:val="0"/>
          <w:numId w:val="22"/>
        </w:numPr>
        <w:ind w:firstLine="600"/>
        <w:rPr>
          <w:rFonts w:hAnsi="Times New Roman"/>
          <w:color w:val="000000"/>
          <w:sz w:val="30"/>
          <w:szCs w:val="30"/>
        </w:rPr>
      </w:pPr>
      <w:r w:rsidRPr="00667D50">
        <w:rPr>
          <w:rFonts w:hAnsi="Times New Roman" w:hint="eastAsia"/>
          <w:color w:val="000000"/>
          <w:sz w:val="30"/>
          <w:szCs w:val="30"/>
        </w:rPr>
        <w:t>债券现券交易：指交易双方以一定的价格转让债券所有权的交易行为。</w:t>
      </w:r>
    </w:p>
    <w:p w:rsidR="00137E10" w:rsidRPr="00667D50" w:rsidRDefault="00137E10" w:rsidP="00137E10">
      <w:pPr>
        <w:pStyle w:val="a6"/>
        <w:numPr>
          <w:ilvl w:val="0"/>
          <w:numId w:val="22"/>
        </w:numPr>
        <w:ind w:firstLine="600"/>
        <w:rPr>
          <w:rFonts w:hAnsi="Times New Roman"/>
          <w:color w:val="000000"/>
          <w:sz w:val="30"/>
          <w:szCs w:val="30"/>
        </w:rPr>
      </w:pPr>
      <w:r w:rsidRPr="00667D50">
        <w:rPr>
          <w:rFonts w:hAnsi="Times New Roman" w:hint="eastAsia"/>
          <w:color w:val="000000"/>
          <w:sz w:val="30"/>
          <w:szCs w:val="30"/>
        </w:rPr>
        <w:t>债券回购交易：指</w:t>
      </w:r>
      <w:r w:rsidRPr="00667D50">
        <w:rPr>
          <w:rFonts w:hAnsi="宋体" w:hint="eastAsia"/>
          <w:sz w:val="30"/>
          <w:szCs w:val="30"/>
        </w:rPr>
        <w:t>资金融入方将债券出质或者转让给资金融出方，从资金融出方融入资金，到期再返还资金，同时解除质押或者购回相应债券的交易。</w:t>
      </w:r>
    </w:p>
    <w:p w:rsidR="00137E10" w:rsidRPr="00667D50" w:rsidRDefault="00137E10" w:rsidP="00137E10">
      <w:pPr>
        <w:pStyle w:val="a6"/>
        <w:numPr>
          <w:ilvl w:val="0"/>
          <w:numId w:val="22"/>
        </w:numPr>
        <w:ind w:firstLine="600"/>
        <w:rPr>
          <w:rFonts w:hAnsi="Times"/>
          <w:color w:val="000000"/>
          <w:sz w:val="30"/>
        </w:rPr>
      </w:pPr>
      <w:r w:rsidRPr="00667D50">
        <w:rPr>
          <w:rFonts w:hAnsi="Times New Roman" w:hint="eastAsia"/>
          <w:color w:val="000000"/>
          <w:sz w:val="30"/>
          <w:szCs w:val="30"/>
        </w:rPr>
        <w:t>债券通用质押式回购交易：</w:t>
      </w:r>
      <w:r w:rsidRPr="00667D50">
        <w:rPr>
          <w:rFonts w:hint="eastAsia"/>
          <w:color w:val="000000"/>
          <w:sz w:val="30"/>
          <w:szCs w:val="30"/>
        </w:rPr>
        <w:t>指资金融入方将符合要求的债券申报质押，以相应折算率计算出的质押券价值为融资额度进行质押融资，交易双方约定在回购期满后返还资金同时解除债券质押的交易。质押券指作为</w:t>
      </w:r>
      <w:r w:rsidRPr="00667D50">
        <w:rPr>
          <w:rFonts w:hAnsi="Times New Roman" w:hint="eastAsia"/>
          <w:color w:val="000000"/>
          <w:sz w:val="30"/>
          <w:szCs w:val="30"/>
        </w:rPr>
        <w:t>债券通用质押式回购交易担保品的债券。</w:t>
      </w:r>
    </w:p>
    <w:p w:rsidR="00137E10" w:rsidRPr="00667D50" w:rsidRDefault="00137E10" w:rsidP="00137E10">
      <w:pPr>
        <w:pStyle w:val="a6"/>
        <w:ind w:left="600" w:firstLineChars="0" w:firstLine="0"/>
        <w:rPr>
          <w:rFonts w:hAnsi="Times"/>
          <w:color w:val="000000"/>
          <w:sz w:val="30"/>
        </w:rPr>
      </w:pPr>
      <w:r w:rsidRPr="00667D50">
        <w:rPr>
          <w:rFonts w:hAnsi="Times New Roman" w:hint="eastAsia"/>
          <w:color w:val="000000"/>
          <w:sz w:val="30"/>
          <w:szCs w:val="30"/>
        </w:rPr>
        <w:t>债券通用质押式回购交易的具体规定，由本所另行制定。</w:t>
      </w:r>
    </w:p>
    <w:p w:rsidR="00137E10" w:rsidRPr="00667D50" w:rsidRDefault="00137E10" w:rsidP="00137E10">
      <w:pPr>
        <w:pStyle w:val="a6"/>
        <w:numPr>
          <w:ilvl w:val="0"/>
          <w:numId w:val="23"/>
        </w:numPr>
        <w:ind w:firstLine="600"/>
        <w:rPr>
          <w:rFonts w:hAnsi="Times"/>
          <w:color w:val="000000"/>
          <w:sz w:val="30"/>
          <w:szCs w:val="30"/>
        </w:rPr>
      </w:pPr>
      <w:r w:rsidRPr="00667D50">
        <w:rPr>
          <w:rFonts w:hAnsi="Times New Roman" w:hint="eastAsia"/>
          <w:color w:val="000000"/>
          <w:sz w:val="30"/>
          <w:szCs w:val="30"/>
        </w:rPr>
        <w:t>债券预发行</w:t>
      </w:r>
      <w:r w:rsidRPr="00667D50">
        <w:rPr>
          <w:rFonts w:hint="eastAsia"/>
          <w:sz w:val="30"/>
          <w:szCs w:val="30"/>
        </w:rPr>
        <w:t>交易：指在债券发行前特定期间进行交易，并在债券发行完成后进行交收的债券交易行为。</w:t>
      </w:r>
    </w:p>
    <w:p w:rsidR="00137E10" w:rsidRPr="00667D50" w:rsidRDefault="00137E10" w:rsidP="00137E10">
      <w:pPr>
        <w:pStyle w:val="a6"/>
        <w:numPr>
          <w:ilvl w:val="0"/>
          <w:numId w:val="23"/>
        </w:numPr>
        <w:ind w:firstLine="600"/>
        <w:rPr>
          <w:rFonts w:hAnsi="Times"/>
          <w:color w:val="000000"/>
          <w:sz w:val="30"/>
          <w:szCs w:val="30"/>
        </w:rPr>
      </w:pPr>
      <w:r w:rsidRPr="00667D50">
        <w:rPr>
          <w:rFonts w:hAnsi="Times" w:hint="eastAsia"/>
          <w:color w:val="000000"/>
          <w:sz w:val="30"/>
          <w:szCs w:val="30"/>
        </w:rPr>
        <w:t>虚拟匹配量：指截至揭示时按照</w:t>
      </w:r>
      <w:r w:rsidRPr="00667D50">
        <w:rPr>
          <w:rFonts w:hAnsi="宋体" w:cs="宋体" w:hint="eastAsia"/>
          <w:color w:val="000000"/>
          <w:kern w:val="0"/>
          <w:sz w:val="30"/>
          <w:szCs w:val="30"/>
        </w:rPr>
        <w:t>集合匹配参考价格</w:t>
      </w:r>
      <w:r w:rsidRPr="00667D50">
        <w:rPr>
          <w:rFonts w:hint="eastAsia"/>
          <w:color w:val="000000"/>
          <w:sz w:val="30"/>
          <w:szCs w:val="30"/>
        </w:rPr>
        <w:t>虚拟成交并予以即时揭示的申报数量</w:t>
      </w:r>
      <w:r w:rsidRPr="00667D50">
        <w:rPr>
          <w:rFonts w:hAnsi="Times" w:hint="eastAsia"/>
          <w:color w:val="000000"/>
          <w:sz w:val="30"/>
          <w:szCs w:val="30"/>
        </w:rPr>
        <w:t>。</w:t>
      </w:r>
    </w:p>
    <w:p w:rsidR="00137E10" w:rsidRPr="00667D50" w:rsidRDefault="00137E10" w:rsidP="00137E10">
      <w:pPr>
        <w:pStyle w:val="a6"/>
        <w:ind w:firstLine="600"/>
        <w:rPr>
          <w:rFonts w:hAnsi="Times"/>
          <w:color w:val="000000"/>
          <w:sz w:val="30"/>
          <w:szCs w:val="30"/>
        </w:rPr>
      </w:pPr>
      <w:r w:rsidRPr="00667D50">
        <w:rPr>
          <w:rFonts w:hAnsi="宋体" w:cs="宋体" w:hint="eastAsia"/>
          <w:color w:val="000000"/>
          <w:kern w:val="0"/>
          <w:sz w:val="30"/>
          <w:szCs w:val="30"/>
        </w:rPr>
        <w:t>集合匹配的参考价格指</w:t>
      </w:r>
      <w:r w:rsidRPr="00667D50">
        <w:rPr>
          <w:rFonts w:hint="eastAsia"/>
          <w:color w:val="000000"/>
          <w:sz w:val="30"/>
          <w:szCs w:val="30"/>
        </w:rPr>
        <w:t>截至揭示时所有有效申报按照集合匹配规则虚拟成交并予以即时揭示的价格。</w:t>
      </w:r>
    </w:p>
    <w:p w:rsidR="00137E10" w:rsidRPr="00667D50" w:rsidRDefault="00137E10" w:rsidP="00137E10">
      <w:pPr>
        <w:pStyle w:val="a6"/>
        <w:numPr>
          <w:ilvl w:val="0"/>
          <w:numId w:val="22"/>
        </w:numPr>
        <w:ind w:firstLine="600"/>
        <w:rPr>
          <w:rFonts w:hAnsi="Times New Roman"/>
          <w:color w:val="000000"/>
          <w:sz w:val="30"/>
          <w:szCs w:val="30"/>
        </w:rPr>
      </w:pPr>
      <w:r w:rsidRPr="00667D50">
        <w:rPr>
          <w:rFonts w:hAnsi="Times" w:hint="eastAsia"/>
          <w:color w:val="000000"/>
          <w:sz w:val="30"/>
          <w:szCs w:val="30"/>
        </w:rPr>
        <w:t>虚拟未匹配量：</w:t>
      </w:r>
      <w:r w:rsidRPr="00667D50">
        <w:rPr>
          <w:rFonts w:hint="eastAsia"/>
          <w:color w:val="000000"/>
          <w:sz w:val="30"/>
          <w:szCs w:val="30"/>
        </w:rPr>
        <w:t>指截至揭示时未能按照</w:t>
      </w:r>
      <w:r w:rsidRPr="00667D50">
        <w:rPr>
          <w:rFonts w:hAnsi="宋体" w:cs="宋体" w:hint="eastAsia"/>
          <w:color w:val="000000"/>
          <w:kern w:val="0"/>
          <w:sz w:val="30"/>
          <w:szCs w:val="30"/>
        </w:rPr>
        <w:t>集合匹配参考价格</w:t>
      </w:r>
      <w:r w:rsidRPr="00667D50">
        <w:rPr>
          <w:rFonts w:hint="eastAsia"/>
          <w:color w:val="000000"/>
          <w:sz w:val="30"/>
          <w:szCs w:val="30"/>
        </w:rPr>
        <w:t>虚拟成交并予以即时揭示的买方或卖方剩余申报数量。</w:t>
      </w:r>
    </w:p>
    <w:p w:rsidR="00137E10" w:rsidRPr="00667D50" w:rsidRDefault="00137E10" w:rsidP="00137E10">
      <w:pPr>
        <w:pStyle w:val="a6"/>
        <w:numPr>
          <w:ilvl w:val="0"/>
          <w:numId w:val="22"/>
        </w:numPr>
        <w:ind w:firstLine="600"/>
        <w:rPr>
          <w:rFonts w:hAnsi="Times New Roman"/>
          <w:color w:val="000000"/>
          <w:sz w:val="30"/>
          <w:szCs w:val="30"/>
        </w:rPr>
      </w:pPr>
      <w:r w:rsidRPr="00667D50">
        <w:rPr>
          <w:rFonts w:hAnsi="Times New Roman" w:hint="eastAsia"/>
          <w:sz w:val="30"/>
          <w:szCs w:val="30"/>
        </w:rPr>
        <w:lastRenderedPageBreak/>
        <w:t>债券价格敏感期</w:t>
      </w:r>
      <w:r w:rsidRPr="00667D50">
        <w:rPr>
          <w:rFonts w:hAnsi="Times New Roman" w:hint="eastAsia"/>
          <w:color w:val="000000"/>
          <w:sz w:val="30"/>
          <w:szCs w:val="30"/>
        </w:rPr>
        <w:t>：指计算相关债券及其衍生品交易价格、结算价格、参考价值的特定期间。</w:t>
      </w:r>
    </w:p>
    <w:p w:rsidR="00137E10" w:rsidRPr="00667D50" w:rsidRDefault="00137E10" w:rsidP="00137E10">
      <w:pPr>
        <w:pStyle w:val="a6"/>
        <w:numPr>
          <w:ilvl w:val="0"/>
          <w:numId w:val="22"/>
        </w:numPr>
        <w:ind w:firstLine="600"/>
        <w:rPr>
          <w:rFonts w:hAnsi="Times New Roman"/>
          <w:color w:val="000000"/>
          <w:sz w:val="30"/>
          <w:szCs w:val="30"/>
        </w:rPr>
      </w:pPr>
      <w:r w:rsidRPr="00667D50">
        <w:rPr>
          <w:rFonts w:hAnsi="Times New Roman" w:hint="eastAsia"/>
          <w:color w:val="000000"/>
          <w:sz w:val="30"/>
          <w:szCs w:val="30"/>
        </w:rPr>
        <w:t>应计利息：指债券自本次起息日至债券过户日所计的利息，债券过户日依据登记结算机构相关规则确定。</w:t>
      </w:r>
    </w:p>
    <w:p w:rsidR="00137E10" w:rsidRPr="00667D50" w:rsidRDefault="00137E10" w:rsidP="00137E10">
      <w:pPr>
        <w:pStyle w:val="a6"/>
        <w:numPr>
          <w:ilvl w:val="0"/>
          <w:numId w:val="22"/>
        </w:numPr>
        <w:ind w:firstLine="600"/>
        <w:rPr>
          <w:rFonts w:hAnsi="Times New Roman"/>
          <w:color w:val="000000"/>
          <w:sz w:val="30"/>
          <w:szCs w:val="30"/>
        </w:rPr>
      </w:pPr>
      <w:r w:rsidRPr="00667D50">
        <w:rPr>
          <w:rFonts w:hAnsi="Times New Roman" w:hint="eastAsia"/>
          <w:color w:val="000000"/>
          <w:sz w:val="30"/>
          <w:szCs w:val="30"/>
        </w:rPr>
        <w:t>面额：如无特殊说明，债券面额均指债券发行时的面额，债券回购的面额均指回购金额。</w:t>
      </w:r>
    </w:p>
    <w:p w:rsidR="00137E10" w:rsidRPr="00667D50" w:rsidRDefault="00137E10" w:rsidP="00137E10">
      <w:pPr>
        <w:pStyle w:val="a6"/>
        <w:numPr>
          <w:ilvl w:val="0"/>
          <w:numId w:val="22"/>
        </w:numPr>
        <w:ind w:firstLine="600"/>
        <w:rPr>
          <w:rFonts w:hAnsi="Times New Roman"/>
          <w:color w:val="000000"/>
          <w:sz w:val="30"/>
          <w:szCs w:val="30"/>
        </w:rPr>
      </w:pPr>
      <w:r w:rsidRPr="00667D50">
        <w:rPr>
          <w:rFonts w:hAnsi="Times New Roman" w:hint="eastAsia"/>
          <w:color w:val="000000"/>
          <w:sz w:val="30"/>
          <w:szCs w:val="30"/>
        </w:rPr>
        <w:t>元：以人民币计价的，指人民币元；以外币计价的，指外币计价单位。</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sz w:val="30"/>
          <w:szCs w:val="30"/>
        </w:rPr>
      </w:pPr>
      <w:r w:rsidRPr="00667D50">
        <w:rPr>
          <w:rFonts w:ascii="仿宋_GB2312" w:eastAsia="仿宋_GB2312" w:hAnsi="Times New Roman" w:cs="Times New Roman" w:hint="eastAsia"/>
          <w:sz w:val="30"/>
          <w:szCs w:val="30"/>
        </w:rPr>
        <w:t>债券投资者通过相关互联互通机制参与本所债券交易的，按照本所与相关交易场所的业务规定和安排办理。</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其他证券、交易品种使用交易系统、采用本规则规定的交易方式进行交易的，参照适用本规则相关规定。本所另有规定的除外。</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债券投资者应当按照规定向本所交纳债券交易相关费用。债券交易收费项目、收费标准和管理办法由本所另行规定。</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本规则中所述时间，以交易系统的时间为准。</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本规则所称“超过”“高于”“低于”“优于”“不足”不含本数，“达到”“以上”“上下”“以内”含本数。</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本规则经本所理事会会议审议通过，并报证监会批准后生效，修改时亦同。</w:t>
      </w:r>
    </w:p>
    <w:p w:rsidR="00137E10" w:rsidRPr="00667D50" w:rsidRDefault="00137E10" w:rsidP="00137E10">
      <w:pPr>
        <w:pStyle w:val="a5"/>
        <w:widowControl w:val="0"/>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r w:rsidRPr="00667D50">
        <w:rPr>
          <w:rFonts w:ascii="仿宋_GB2312" w:eastAsia="仿宋_GB2312" w:hAnsi="Times New Roman" w:cs="Times New Roman" w:hint="eastAsia"/>
          <w:sz w:val="30"/>
          <w:szCs w:val="30"/>
        </w:rPr>
        <w:t>本所此前有关债券交易的规定与本规则不一致的，按</w:t>
      </w:r>
      <w:r w:rsidRPr="00667D50">
        <w:rPr>
          <w:rFonts w:ascii="仿宋_GB2312" w:eastAsia="仿宋_GB2312" w:hAnsi="Times New Roman" w:hint="eastAsia"/>
          <w:color w:val="000000"/>
          <w:sz w:val="30"/>
          <w:szCs w:val="30"/>
        </w:rPr>
        <w:t>照</w:t>
      </w:r>
      <w:r w:rsidRPr="00667D50">
        <w:rPr>
          <w:rFonts w:ascii="仿宋_GB2312" w:eastAsia="仿宋_GB2312" w:hAnsi="Times New Roman" w:cs="Times New Roman" w:hint="eastAsia"/>
          <w:sz w:val="30"/>
          <w:szCs w:val="30"/>
        </w:rPr>
        <w:t>本规</w:t>
      </w:r>
      <w:r w:rsidRPr="00667D50">
        <w:rPr>
          <w:rFonts w:ascii="仿宋_GB2312" w:eastAsia="仿宋_GB2312" w:hAnsi="Times New Roman" w:cs="Times New Roman" w:hint="eastAsia"/>
          <w:sz w:val="30"/>
          <w:szCs w:val="30"/>
        </w:rPr>
        <w:lastRenderedPageBreak/>
        <w:t>则执行。</w:t>
      </w:r>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rPr>
          <w:rFonts w:ascii="仿宋_GB2312" w:eastAsia="仿宋_GB2312" w:hAnsi="Times New Roman" w:cs="Times New Roman"/>
          <w:sz w:val="30"/>
          <w:szCs w:val="30"/>
        </w:rPr>
      </w:pPr>
      <w:bookmarkStart w:id="552" w:name="_Ref25242256"/>
      <w:r w:rsidRPr="00667D50">
        <w:rPr>
          <w:rFonts w:ascii="仿宋_GB2312" w:eastAsia="仿宋_GB2312" w:hAnsi="Times New Roman" w:cs="Times New Roman" w:hint="eastAsia"/>
          <w:sz w:val="30"/>
          <w:szCs w:val="30"/>
        </w:rPr>
        <w:t>本规则由本所负责解释。</w:t>
      </w:r>
      <w:bookmarkEnd w:id="552"/>
    </w:p>
    <w:p w:rsidR="00137E10" w:rsidRPr="00667D50" w:rsidRDefault="00137E10" w:rsidP="00137E10">
      <w:pPr>
        <w:pStyle w:val="a5"/>
        <w:widowControl w:val="0"/>
        <w:numPr>
          <w:ilvl w:val="1"/>
          <w:numId w:val="2"/>
        </w:numPr>
        <w:shd w:val="clear" w:color="auto" w:fill="FFFFFF"/>
        <w:adjustRightInd w:val="0"/>
        <w:snapToGrid w:val="0"/>
        <w:spacing w:before="0" w:beforeAutospacing="0" w:after="0" w:afterAutospacing="0" w:line="560" w:lineRule="exact"/>
        <w:ind w:firstLineChars="200" w:firstLine="600"/>
        <w:jc w:val="both"/>
      </w:pPr>
      <w:r w:rsidRPr="00667D50">
        <w:rPr>
          <w:rFonts w:ascii="仿宋_GB2312" w:eastAsia="仿宋_GB2312" w:hAnsi="Times New Roman" w:cs="Times New Roman" w:hint="eastAsia"/>
          <w:sz w:val="30"/>
          <w:szCs w:val="30"/>
        </w:rPr>
        <w:t>本规则自</w:t>
      </w:r>
      <w:r>
        <w:rPr>
          <w:rFonts w:ascii="仿宋_GB2312" w:eastAsia="仿宋_GB2312" w:hAnsi="Times New Roman" w:cs="Times New Roman"/>
          <w:sz w:val="30"/>
          <w:szCs w:val="30"/>
        </w:rPr>
        <w:t>2022</w:t>
      </w:r>
      <w:r w:rsidRPr="00667D50">
        <w:rPr>
          <w:rFonts w:ascii="仿宋_GB2312" w:eastAsia="仿宋_GB2312" w:hAnsi="Times New Roman" w:cs="Times New Roman" w:hint="eastAsia"/>
          <w:sz w:val="30"/>
          <w:szCs w:val="30"/>
        </w:rPr>
        <w:t>年</w:t>
      </w:r>
      <w:r>
        <w:rPr>
          <w:rFonts w:ascii="仿宋_GB2312" w:eastAsia="仿宋_GB2312" w:hAnsi="Times New Roman" w:cs="Times New Roman"/>
          <w:sz w:val="30"/>
          <w:szCs w:val="30"/>
        </w:rPr>
        <w:t>4</w:t>
      </w:r>
      <w:r w:rsidRPr="00667D50">
        <w:rPr>
          <w:rFonts w:ascii="仿宋_GB2312" w:eastAsia="仿宋_GB2312" w:hAnsi="Times New Roman" w:cs="Times New Roman" w:hint="eastAsia"/>
          <w:sz w:val="30"/>
          <w:szCs w:val="30"/>
        </w:rPr>
        <w:t>月</w:t>
      </w:r>
      <w:r>
        <w:rPr>
          <w:rFonts w:ascii="仿宋_GB2312" w:eastAsia="仿宋_GB2312" w:hAnsi="Times New Roman" w:cs="Times New Roman"/>
          <w:sz w:val="30"/>
          <w:szCs w:val="30"/>
        </w:rPr>
        <w:t>25</w:t>
      </w:r>
      <w:r w:rsidRPr="00667D50">
        <w:rPr>
          <w:rFonts w:ascii="仿宋_GB2312" w:eastAsia="仿宋_GB2312" w:hAnsi="Times New Roman" w:cs="Times New Roman" w:hint="eastAsia"/>
          <w:sz w:val="30"/>
          <w:szCs w:val="30"/>
        </w:rPr>
        <w:t>日起施行。</w:t>
      </w:r>
      <w:bookmarkEnd w:id="508"/>
      <w:bookmarkEnd w:id="509"/>
      <w:bookmarkEnd w:id="510"/>
    </w:p>
    <w:p w:rsidR="00137E10" w:rsidRPr="00667D50" w:rsidRDefault="00137E10" w:rsidP="00137E10"/>
    <w:p w:rsidR="00137E10" w:rsidRPr="00695DC5" w:rsidRDefault="00137E10" w:rsidP="00137E10"/>
    <w:p w:rsidR="00137E10" w:rsidRPr="00E60CB5" w:rsidRDefault="00137E10" w:rsidP="00137E10"/>
    <w:p w:rsidR="006D6BBA" w:rsidRDefault="006E33BE"/>
    <w:sectPr w:rsidR="006D6BBA" w:rsidSect="009A00F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7AD6" w:rsidRDefault="00907AD6" w:rsidP="00907AD6">
      <w:r>
        <w:separator/>
      </w:r>
    </w:p>
  </w:endnote>
  <w:endnote w:type="continuationSeparator" w:id="0">
    <w:p w:rsidR="00907AD6" w:rsidRDefault="00907AD6" w:rsidP="00907A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00F8" w:rsidRDefault="00907AD6">
    <w:pPr>
      <w:pStyle w:val="a3"/>
      <w:jc w:val="right"/>
    </w:pPr>
    <w:r>
      <w:fldChar w:fldCharType="begin"/>
    </w:r>
    <w:r w:rsidR="00137E10">
      <w:instrText xml:space="preserve"> PAGE   \* MERGEFORMAT </w:instrText>
    </w:r>
    <w:r>
      <w:fldChar w:fldCharType="separate"/>
    </w:r>
    <w:r w:rsidR="006E33BE" w:rsidRPr="006E33BE">
      <w:rPr>
        <w:noProof/>
        <w:lang w:val="zh-CN"/>
      </w:rPr>
      <w:t>35</w:t>
    </w:r>
    <w:r>
      <w:fldChar w:fldCharType="end"/>
    </w:r>
  </w:p>
  <w:p w:rsidR="009A00F8" w:rsidRDefault="006E33B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7AD6" w:rsidRDefault="00907AD6" w:rsidP="00907AD6">
      <w:r>
        <w:separator/>
      </w:r>
    </w:p>
  </w:footnote>
  <w:footnote w:type="continuationSeparator" w:id="0">
    <w:p w:rsidR="00907AD6" w:rsidRDefault="00907AD6" w:rsidP="00907AD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72DFD"/>
    <w:multiLevelType w:val="multilevel"/>
    <w:tmpl w:val="00172DFD"/>
    <w:lvl w:ilvl="0">
      <w:start w:val="1"/>
      <w:numFmt w:val="japaneseCounting"/>
      <w:lvlText w:val="（%1）"/>
      <w:lvlJc w:val="left"/>
      <w:pPr>
        <w:ind w:left="5665"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
    <w:nsid w:val="07882B9F"/>
    <w:multiLevelType w:val="multilevel"/>
    <w:tmpl w:val="8C029BEE"/>
    <w:lvl w:ilvl="0">
      <w:start w:val="1"/>
      <w:numFmt w:val="chineseCountingThousand"/>
      <w:lvlText w:val="（%1）"/>
      <w:lvlJc w:val="left"/>
      <w:pPr>
        <w:ind w:left="1020" w:hanging="420"/>
      </w:pPr>
      <w:rPr>
        <w:rFonts w:hint="eastAsia"/>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
    <w:nsid w:val="09AE11F7"/>
    <w:multiLevelType w:val="multilevel"/>
    <w:tmpl w:val="09AE11F7"/>
    <w:lvl w:ilvl="0">
      <w:start w:val="1"/>
      <w:numFmt w:val="chineseCountingThousand"/>
      <w:lvlText w:val="第%1节"/>
      <w:lvlJc w:val="left"/>
      <w:pPr>
        <w:ind w:left="420" w:hanging="420"/>
      </w:pPr>
      <w:rPr>
        <w:rFonts w:ascii="仿宋_GB2312" w:eastAsia="仿宋_GB2312" w:hAnsi="Calibri" w:cs="Times New Roman" w:hint="eastAsia"/>
        <w:color w:val="auto"/>
        <w:sz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9FD512C"/>
    <w:multiLevelType w:val="multilevel"/>
    <w:tmpl w:val="09FD512C"/>
    <w:lvl w:ilvl="0">
      <w:start w:val="1"/>
      <w:numFmt w:val="chineseCountingThousand"/>
      <w:lvlText w:val="第%1节"/>
      <w:lvlJc w:val="left"/>
      <w:pPr>
        <w:ind w:left="420" w:hanging="420"/>
      </w:pPr>
      <w:rPr>
        <w:rFonts w:ascii="Calibri" w:hAnsi="Calibri" w:cs="Times New Roman" w:hint="default"/>
        <w:color w:val="auto"/>
        <w:sz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FF4308"/>
    <w:multiLevelType w:val="multilevel"/>
    <w:tmpl w:val="0CFF4308"/>
    <w:lvl w:ilvl="0">
      <w:start w:val="1"/>
      <w:numFmt w:val="japaneseCounting"/>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5">
    <w:nsid w:val="0FD51A31"/>
    <w:multiLevelType w:val="multilevel"/>
    <w:tmpl w:val="0FD51A31"/>
    <w:lvl w:ilvl="0">
      <w:start w:val="1"/>
      <w:numFmt w:val="chineseCountingThousand"/>
      <w:lvlText w:val="第%1章"/>
      <w:lvlJc w:val="left"/>
      <w:pPr>
        <w:ind w:left="3343" w:hanging="750"/>
      </w:pPr>
      <w:rPr>
        <w:rFonts w:ascii="黑体" w:eastAsia="黑体" w:hAnsi="黑体" w:hint="eastAsia"/>
        <w:b/>
        <w:i w:val="0"/>
        <w:sz w:val="30"/>
        <w:szCs w:val="30"/>
        <w:lang w:val="en-US"/>
      </w:rPr>
    </w:lvl>
    <w:lvl w:ilvl="1">
      <w:start w:val="6"/>
      <w:numFmt w:val="decimal"/>
      <w:lvlText w:val="%1.%2"/>
      <w:lvlJc w:val="left"/>
      <w:pPr>
        <w:ind w:left="1920" w:hanging="750"/>
      </w:pPr>
    </w:lvl>
    <w:lvl w:ilvl="2">
      <w:start w:val="1"/>
      <w:numFmt w:val="decimal"/>
      <w:lvlText w:val="%1.%2.%3"/>
      <w:lvlJc w:val="left"/>
      <w:pPr>
        <w:ind w:left="2670" w:hanging="1080"/>
      </w:pPr>
      <w:rPr>
        <w:b/>
      </w:rPr>
    </w:lvl>
    <w:lvl w:ilvl="3">
      <w:start w:val="1"/>
      <w:numFmt w:val="decimal"/>
      <w:lvlText w:val="%1.%2.%3.%4"/>
      <w:lvlJc w:val="left"/>
      <w:pPr>
        <w:ind w:left="3090" w:hanging="1080"/>
      </w:pPr>
    </w:lvl>
    <w:lvl w:ilvl="4">
      <w:start w:val="1"/>
      <w:numFmt w:val="decimal"/>
      <w:lvlText w:val="%1.%2.%3.%4.%5"/>
      <w:lvlJc w:val="left"/>
      <w:pPr>
        <w:ind w:left="3870" w:hanging="1440"/>
      </w:pPr>
    </w:lvl>
    <w:lvl w:ilvl="5">
      <w:start w:val="1"/>
      <w:numFmt w:val="decimal"/>
      <w:lvlText w:val="%1.%2.%3.%4.%5.%6"/>
      <w:lvlJc w:val="left"/>
      <w:pPr>
        <w:ind w:left="4650" w:hanging="1800"/>
      </w:pPr>
    </w:lvl>
    <w:lvl w:ilvl="6">
      <w:start w:val="1"/>
      <w:numFmt w:val="decimal"/>
      <w:lvlText w:val="%1.%2.%3.%4.%5.%6.%7"/>
      <w:lvlJc w:val="left"/>
      <w:pPr>
        <w:ind w:left="5430" w:hanging="2160"/>
      </w:pPr>
    </w:lvl>
    <w:lvl w:ilvl="7">
      <w:start w:val="1"/>
      <w:numFmt w:val="decimal"/>
      <w:lvlText w:val="%1.%2.%3.%4.%5.%6.%7.%8"/>
      <w:lvlJc w:val="left"/>
      <w:pPr>
        <w:ind w:left="6210" w:hanging="2520"/>
      </w:pPr>
    </w:lvl>
    <w:lvl w:ilvl="8">
      <w:start w:val="1"/>
      <w:numFmt w:val="decimal"/>
      <w:lvlText w:val="%1.%2.%3.%4.%5.%6.%7.%8.%9"/>
      <w:lvlJc w:val="left"/>
      <w:pPr>
        <w:ind w:left="6990" w:hanging="2880"/>
      </w:pPr>
    </w:lvl>
  </w:abstractNum>
  <w:abstractNum w:abstractNumId="6">
    <w:nsid w:val="113A0149"/>
    <w:multiLevelType w:val="multilevel"/>
    <w:tmpl w:val="113A0149"/>
    <w:lvl w:ilvl="0">
      <w:start w:val="1"/>
      <w:numFmt w:val="japaneseCounting"/>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7">
    <w:nsid w:val="217C40B3"/>
    <w:multiLevelType w:val="multilevel"/>
    <w:tmpl w:val="217C40B3"/>
    <w:lvl w:ilvl="0">
      <w:start w:val="1"/>
      <w:numFmt w:val="japaneseCounting"/>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8">
    <w:nsid w:val="285B7183"/>
    <w:multiLevelType w:val="multilevel"/>
    <w:tmpl w:val="2C0AD70C"/>
    <w:lvl w:ilvl="0">
      <w:start w:val="1"/>
      <w:numFmt w:val="japaneseCounting"/>
      <w:lvlText w:val="（%1）"/>
      <w:lvlJc w:val="left"/>
      <w:pPr>
        <w:ind w:left="1020" w:hanging="420"/>
      </w:pPr>
      <w:rPr>
        <w:rFonts w:ascii="仿宋_GB2312" w:eastAsia="仿宋_GB2312" w:hint="eastAsia"/>
        <w:sz w:val="30"/>
        <w:szCs w:val="30"/>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9">
    <w:nsid w:val="28B9752C"/>
    <w:multiLevelType w:val="multilevel"/>
    <w:tmpl w:val="C07CFF4E"/>
    <w:lvl w:ilvl="0">
      <w:start w:val="1"/>
      <w:numFmt w:val="decimal"/>
      <w:suff w:val="space"/>
      <w:lvlText w:val="%1"/>
      <w:lvlJc w:val="left"/>
      <w:pPr>
        <w:ind w:left="0" w:firstLine="0"/>
      </w:pPr>
    </w:lvl>
    <w:lvl w:ilvl="1">
      <w:start w:val="1"/>
      <w:numFmt w:val="chineseCountingThousand"/>
      <w:suff w:val="space"/>
      <w:lvlText w:val="第%2条"/>
      <w:lvlJc w:val="left"/>
      <w:pPr>
        <w:ind w:left="0" w:firstLine="0"/>
      </w:pPr>
      <w:rPr>
        <w:rFonts w:ascii="仿宋_GB2312" w:eastAsia="仿宋_GB2312" w:hAnsi="Calibri" w:cs="Times New Roman" w:hint="eastAsia"/>
        <w:b/>
        <w:i w:val="0"/>
        <w:color w:val="auto"/>
        <w:sz w:val="30"/>
        <w:lang w:val="en-US"/>
      </w:rPr>
    </w:lvl>
    <w:lvl w:ilvl="2">
      <w:start w:val="1"/>
      <w:numFmt w:val="decimal"/>
      <w:suff w:val="nothing"/>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0">
    <w:nsid w:val="34AF4B5E"/>
    <w:multiLevelType w:val="multilevel"/>
    <w:tmpl w:val="34AF4B5E"/>
    <w:lvl w:ilvl="0">
      <w:start w:val="1"/>
      <w:numFmt w:val="chineseCountingThousand"/>
      <w:lvlText w:val="（%1）"/>
      <w:lvlJc w:val="left"/>
      <w:pPr>
        <w:ind w:left="1554" w:hanging="420"/>
      </w:p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11">
    <w:nsid w:val="35801AF0"/>
    <w:multiLevelType w:val="multilevel"/>
    <w:tmpl w:val="35801AF0"/>
    <w:lvl w:ilvl="0">
      <w:start w:val="1"/>
      <w:numFmt w:val="japaneseCounting"/>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2">
    <w:nsid w:val="3C37511F"/>
    <w:multiLevelType w:val="multilevel"/>
    <w:tmpl w:val="3C37511F"/>
    <w:lvl w:ilvl="0">
      <w:start w:val="1"/>
      <w:numFmt w:val="japaneseCounting"/>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3">
    <w:nsid w:val="3CA8282B"/>
    <w:multiLevelType w:val="multilevel"/>
    <w:tmpl w:val="3CA8282B"/>
    <w:lvl w:ilvl="0">
      <w:start w:val="1"/>
      <w:numFmt w:val="japaneseCounting"/>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4">
    <w:nsid w:val="3EE0583F"/>
    <w:multiLevelType w:val="multilevel"/>
    <w:tmpl w:val="3EE0583F"/>
    <w:lvl w:ilvl="0">
      <w:start w:val="1"/>
      <w:numFmt w:val="japaneseCounting"/>
      <w:lvlText w:val="（%1）"/>
      <w:lvlJc w:val="left"/>
      <w:pPr>
        <w:ind w:left="0" w:firstLine="0"/>
      </w:pPr>
    </w:lvl>
    <w:lvl w:ilvl="1">
      <w:start w:val="2"/>
      <w:numFmt w:val="decimal"/>
      <w:lvlText w:val="%1.%2"/>
      <w:lvlJc w:val="left"/>
      <w:pPr>
        <w:ind w:left="0" w:firstLine="0"/>
      </w:pPr>
      <w:rPr>
        <w:b/>
        <w:i w:val="0"/>
      </w:rPr>
    </w:lvl>
    <w:lvl w:ilvl="2">
      <w:start w:val="1"/>
      <w:numFmt w:val="decimal"/>
      <w:lvlText w:val="%1.%2.%3"/>
      <w:lvlJc w:val="left"/>
      <w:pPr>
        <w:ind w:left="0" w:firstLine="0"/>
      </w:pPr>
      <w:rPr>
        <w:b/>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5">
    <w:nsid w:val="45481511"/>
    <w:multiLevelType w:val="multilevel"/>
    <w:tmpl w:val="45481511"/>
    <w:lvl w:ilvl="0">
      <w:start w:val="8"/>
      <w:numFmt w:val="decimal"/>
      <w:lvlText w:val="%1."/>
      <w:lvlJc w:val="left"/>
      <w:pPr>
        <w:ind w:left="0" w:firstLine="0"/>
      </w:pPr>
    </w:lvl>
    <w:lvl w:ilvl="1">
      <w:start w:val="1"/>
      <w:numFmt w:val="japaneseCounting"/>
      <w:lvlText w:val="（%2）"/>
      <w:lvlJc w:val="left"/>
      <w:pPr>
        <w:ind w:left="0" w:firstLine="0"/>
      </w:pPr>
      <w:rPr>
        <w:b w:val="0"/>
        <w:i w:val="0"/>
      </w:rPr>
    </w:lvl>
    <w:lvl w:ilvl="2">
      <w:start w:val="8"/>
      <w:numFmt w:val="decimal"/>
      <w:lvlText w:val="6.1.%3"/>
      <w:lvlJc w:val="left"/>
      <w:pPr>
        <w:ind w:left="0" w:firstLine="0"/>
      </w:pPr>
      <w:rPr>
        <w:b/>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6">
    <w:nsid w:val="4BDC7C85"/>
    <w:multiLevelType w:val="multilevel"/>
    <w:tmpl w:val="A69E6B58"/>
    <w:lvl w:ilvl="0">
      <w:start w:val="1"/>
      <w:numFmt w:val="chineseCountingThousand"/>
      <w:lvlText w:val="（%1）"/>
      <w:lvlJc w:val="left"/>
      <w:pPr>
        <w:ind w:left="1020" w:hanging="420"/>
      </w:pPr>
      <w:rPr>
        <w:rFonts w:hint="eastAsia"/>
      </w:rPr>
    </w:lvl>
    <w:lvl w:ilvl="1">
      <w:start w:val="1"/>
      <w:numFmt w:val="lowerLetter"/>
      <w:lvlText w:val="%2)"/>
      <w:lvlJc w:val="left"/>
      <w:pPr>
        <w:ind w:left="1440" w:hanging="420"/>
      </w:pPr>
      <w:rPr>
        <w:rFonts w:hint="eastAsia"/>
      </w:rPr>
    </w:lvl>
    <w:lvl w:ilvl="2">
      <w:start w:val="1"/>
      <w:numFmt w:val="lowerRoman"/>
      <w:lvlText w:val="%3."/>
      <w:lvlJc w:val="right"/>
      <w:pPr>
        <w:ind w:left="1860" w:hanging="420"/>
      </w:pPr>
      <w:rPr>
        <w:rFonts w:hint="eastAsia"/>
      </w:rPr>
    </w:lvl>
    <w:lvl w:ilvl="3">
      <w:start w:val="1"/>
      <w:numFmt w:val="decimal"/>
      <w:lvlText w:val="%4."/>
      <w:lvlJc w:val="left"/>
      <w:pPr>
        <w:ind w:left="2280" w:hanging="420"/>
      </w:pPr>
      <w:rPr>
        <w:rFonts w:hint="eastAsia"/>
      </w:rPr>
    </w:lvl>
    <w:lvl w:ilvl="4">
      <w:start w:val="1"/>
      <w:numFmt w:val="lowerLetter"/>
      <w:lvlText w:val="%5)"/>
      <w:lvlJc w:val="left"/>
      <w:pPr>
        <w:ind w:left="2700" w:hanging="420"/>
      </w:pPr>
      <w:rPr>
        <w:rFonts w:hint="eastAsia"/>
      </w:rPr>
    </w:lvl>
    <w:lvl w:ilvl="5">
      <w:start w:val="1"/>
      <w:numFmt w:val="lowerRoman"/>
      <w:lvlText w:val="%6."/>
      <w:lvlJc w:val="right"/>
      <w:pPr>
        <w:ind w:left="3120" w:hanging="420"/>
      </w:pPr>
      <w:rPr>
        <w:rFonts w:hint="eastAsia"/>
      </w:rPr>
    </w:lvl>
    <w:lvl w:ilvl="6">
      <w:start w:val="1"/>
      <w:numFmt w:val="decimal"/>
      <w:lvlText w:val="%7."/>
      <w:lvlJc w:val="left"/>
      <w:pPr>
        <w:ind w:left="3540" w:hanging="420"/>
      </w:pPr>
      <w:rPr>
        <w:rFonts w:hint="eastAsia"/>
      </w:rPr>
    </w:lvl>
    <w:lvl w:ilvl="7">
      <w:start w:val="1"/>
      <w:numFmt w:val="lowerLetter"/>
      <w:lvlText w:val="%8)"/>
      <w:lvlJc w:val="left"/>
      <w:pPr>
        <w:ind w:left="3960" w:hanging="420"/>
      </w:pPr>
      <w:rPr>
        <w:rFonts w:hint="eastAsia"/>
      </w:rPr>
    </w:lvl>
    <w:lvl w:ilvl="8">
      <w:start w:val="1"/>
      <w:numFmt w:val="lowerRoman"/>
      <w:lvlText w:val="%9."/>
      <w:lvlJc w:val="right"/>
      <w:pPr>
        <w:ind w:left="4380" w:hanging="420"/>
      </w:pPr>
      <w:rPr>
        <w:rFonts w:hint="eastAsia"/>
      </w:rPr>
    </w:lvl>
  </w:abstractNum>
  <w:abstractNum w:abstractNumId="17">
    <w:nsid w:val="4CDA173D"/>
    <w:multiLevelType w:val="multilevel"/>
    <w:tmpl w:val="5C42A504"/>
    <w:lvl w:ilvl="0">
      <w:start w:val="1"/>
      <w:numFmt w:val="chineseCountingThousand"/>
      <w:lvlText w:val="（%1）"/>
      <w:lvlJc w:val="left"/>
      <w:pPr>
        <w:ind w:left="1020" w:hanging="420"/>
      </w:pPr>
      <w:rPr>
        <w:rFonts w:hint="eastAsia"/>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8">
    <w:nsid w:val="5269507F"/>
    <w:multiLevelType w:val="multilevel"/>
    <w:tmpl w:val="5269507F"/>
    <w:lvl w:ilvl="0">
      <w:start w:val="1"/>
      <w:numFmt w:val="japaneseCounting"/>
      <w:lvlText w:val="（%1）"/>
      <w:lvlJc w:val="left"/>
      <w:pPr>
        <w:ind w:left="0" w:firstLine="0"/>
      </w:pPr>
    </w:lvl>
    <w:lvl w:ilvl="1">
      <w:start w:val="1"/>
      <w:numFmt w:val="decimal"/>
      <w:lvlText w:val="%1.%2"/>
      <w:lvlJc w:val="left"/>
      <w:pPr>
        <w:ind w:left="0" w:firstLine="0"/>
      </w:pPr>
      <w:rPr>
        <w:b/>
        <w:i w:val="0"/>
      </w:rPr>
    </w:lvl>
    <w:lvl w:ilvl="2">
      <w:start w:val="1"/>
      <w:numFmt w:val="decimal"/>
      <w:lvlText w:val="%1.%2.%3"/>
      <w:lvlJc w:val="left"/>
      <w:pPr>
        <w:ind w:left="0" w:firstLine="0"/>
      </w:pPr>
      <w:rPr>
        <w:b/>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9">
    <w:nsid w:val="61A672E8"/>
    <w:multiLevelType w:val="multilevel"/>
    <w:tmpl w:val="61A672E8"/>
    <w:lvl w:ilvl="0">
      <w:start w:val="1"/>
      <w:numFmt w:val="chineseCountingThousand"/>
      <w:lvlText w:val="第%1节"/>
      <w:lvlJc w:val="left"/>
      <w:pPr>
        <w:ind w:left="420" w:hanging="420"/>
      </w:pPr>
      <w:rPr>
        <w:rFonts w:ascii="仿宋_GB2312" w:eastAsia="仿宋_GB2312" w:hAnsi="Calibri" w:cs="Times New Roman" w:hint="eastAsia"/>
        <w:color w:val="auto"/>
        <w:sz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61D87174"/>
    <w:multiLevelType w:val="multilevel"/>
    <w:tmpl w:val="61D87174"/>
    <w:lvl w:ilvl="0">
      <w:start w:val="1"/>
      <w:numFmt w:val="japaneseCounting"/>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1">
    <w:nsid w:val="6A8418B2"/>
    <w:multiLevelType w:val="multilevel"/>
    <w:tmpl w:val="6A8418B2"/>
    <w:lvl w:ilvl="0">
      <w:start w:val="1"/>
      <w:numFmt w:val="japaneseCounting"/>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2">
    <w:nsid w:val="6AA93084"/>
    <w:multiLevelType w:val="multilevel"/>
    <w:tmpl w:val="01BCF132"/>
    <w:lvl w:ilvl="0">
      <w:start w:val="1"/>
      <w:numFmt w:val="chineseCountingThousand"/>
      <w:lvlText w:val="（%1）"/>
      <w:lvlJc w:val="left"/>
      <w:pPr>
        <w:ind w:left="1020" w:hanging="420"/>
      </w:pPr>
      <w:rPr>
        <w:rFonts w:hint="eastAsia"/>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3">
    <w:nsid w:val="6B544EFC"/>
    <w:multiLevelType w:val="multilevel"/>
    <w:tmpl w:val="6B544EFC"/>
    <w:lvl w:ilvl="0">
      <w:start w:val="1"/>
      <w:numFmt w:val="japaneseCounting"/>
      <w:lvlText w:val="（%1）"/>
      <w:lvlJc w:val="left"/>
      <w:pPr>
        <w:ind w:left="1680" w:hanging="108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4">
    <w:nsid w:val="6F4A3CCE"/>
    <w:multiLevelType w:val="multilevel"/>
    <w:tmpl w:val="6F4A3CCE"/>
    <w:lvl w:ilvl="0">
      <w:start w:val="1"/>
      <w:numFmt w:val="japaneseCounting"/>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5">
    <w:nsid w:val="741922E2"/>
    <w:multiLevelType w:val="multilevel"/>
    <w:tmpl w:val="9F586DDC"/>
    <w:lvl w:ilvl="0">
      <w:start w:val="1"/>
      <w:numFmt w:val="chineseCountingThousand"/>
      <w:lvlText w:val="（%1）"/>
      <w:lvlJc w:val="left"/>
      <w:pPr>
        <w:ind w:left="1020" w:hanging="420"/>
      </w:pPr>
      <w:rPr>
        <w:rFonts w:hint="eastAsia"/>
      </w:rPr>
    </w:lvl>
    <w:lvl w:ilvl="1">
      <w:start w:val="1"/>
      <w:numFmt w:val="lowerLetter"/>
      <w:lvlText w:val="%2)"/>
      <w:lvlJc w:val="left"/>
      <w:pPr>
        <w:ind w:left="1440" w:hanging="420"/>
      </w:pPr>
      <w:rPr>
        <w:rFonts w:hint="eastAsia"/>
      </w:rPr>
    </w:lvl>
    <w:lvl w:ilvl="2">
      <w:start w:val="1"/>
      <w:numFmt w:val="lowerRoman"/>
      <w:lvlText w:val="%3."/>
      <w:lvlJc w:val="right"/>
      <w:pPr>
        <w:ind w:left="1860" w:hanging="420"/>
      </w:pPr>
      <w:rPr>
        <w:rFonts w:hint="eastAsia"/>
      </w:rPr>
    </w:lvl>
    <w:lvl w:ilvl="3">
      <w:start w:val="1"/>
      <w:numFmt w:val="decimal"/>
      <w:lvlText w:val="%4."/>
      <w:lvlJc w:val="left"/>
      <w:pPr>
        <w:ind w:left="2280" w:hanging="420"/>
      </w:pPr>
      <w:rPr>
        <w:rFonts w:hint="eastAsia"/>
      </w:rPr>
    </w:lvl>
    <w:lvl w:ilvl="4">
      <w:start w:val="1"/>
      <w:numFmt w:val="lowerLetter"/>
      <w:lvlText w:val="%5)"/>
      <w:lvlJc w:val="left"/>
      <w:pPr>
        <w:ind w:left="2700" w:hanging="420"/>
      </w:pPr>
      <w:rPr>
        <w:rFonts w:hint="eastAsia"/>
      </w:rPr>
    </w:lvl>
    <w:lvl w:ilvl="5">
      <w:start w:val="1"/>
      <w:numFmt w:val="lowerRoman"/>
      <w:lvlText w:val="%6."/>
      <w:lvlJc w:val="right"/>
      <w:pPr>
        <w:ind w:left="3120" w:hanging="420"/>
      </w:pPr>
      <w:rPr>
        <w:rFonts w:hint="eastAsia"/>
      </w:rPr>
    </w:lvl>
    <w:lvl w:ilvl="6">
      <w:start w:val="1"/>
      <w:numFmt w:val="decimal"/>
      <w:lvlText w:val="%7."/>
      <w:lvlJc w:val="left"/>
      <w:pPr>
        <w:ind w:left="3540" w:hanging="420"/>
      </w:pPr>
      <w:rPr>
        <w:rFonts w:hint="eastAsia"/>
      </w:rPr>
    </w:lvl>
    <w:lvl w:ilvl="7">
      <w:start w:val="1"/>
      <w:numFmt w:val="lowerLetter"/>
      <w:lvlText w:val="%8)"/>
      <w:lvlJc w:val="left"/>
      <w:pPr>
        <w:ind w:left="3960" w:hanging="420"/>
      </w:pPr>
      <w:rPr>
        <w:rFonts w:hint="eastAsia"/>
      </w:rPr>
    </w:lvl>
    <w:lvl w:ilvl="8">
      <w:start w:val="1"/>
      <w:numFmt w:val="lowerRoman"/>
      <w:lvlText w:val="%9."/>
      <w:lvlJc w:val="right"/>
      <w:pPr>
        <w:ind w:left="4380" w:hanging="420"/>
      </w:pPr>
      <w:rPr>
        <w:rFonts w:hint="eastAsia"/>
      </w:rPr>
    </w:lvl>
  </w:abstractNum>
  <w:abstractNum w:abstractNumId="26">
    <w:nsid w:val="7C0062BE"/>
    <w:multiLevelType w:val="multilevel"/>
    <w:tmpl w:val="B3CC4A8A"/>
    <w:lvl w:ilvl="0">
      <w:start w:val="1"/>
      <w:numFmt w:val="chineseCountingThousand"/>
      <w:lvlText w:val="（%1）"/>
      <w:lvlJc w:val="left"/>
      <w:pPr>
        <w:ind w:left="1020" w:hanging="420"/>
      </w:pPr>
      <w:rPr>
        <w:rFonts w:hint="eastAsia"/>
      </w:rPr>
    </w:lvl>
    <w:lvl w:ilvl="1">
      <w:start w:val="1"/>
      <w:numFmt w:val="lowerLetter"/>
      <w:lvlText w:val="%2)"/>
      <w:lvlJc w:val="left"/>
      <w:pPr>
        <w:ind w:left="1440" w:hanging="420"/>
      </w:pPr>
      <w:rPr>
        <w:rFonts w:hint="eastAsia"/>
      </w:rPr>
    </w:lvl>
    <w:lvl w:ilvl="2">
      <w:start w:val="1"/>
      <w:numFmt w:val="lowerRoman"/>
      <w:lvlText w:val="%3."/>
      <w:lvlJc w:val="right"/>
      <w:pPr>
        <w:ind w:left="1860" w:hanging="420"/>
      </w:pPr>
      <w:rPr>
        <w:rFonts w:hint="eastAsia"/>
      </w:rPr>
    </w:lvl>
    <w:lvl w:ilvl="3">
      <w:start w:val="1"/>
      <w:numFmt w:val="decimal"/>
      <w:lvlText w:val="%4."/>
      <w:lvlJc w:val="left"/>
      <w:pPr>
        <w:ind w:left="2280" w:hanging="420"/>
      </w:pPr>
      <w:rPr>
        <w:rFonts w:hint="eastAsia"/>
      </w:rPr>
    </w:lvl>
    <w:lvl w:ilvl="4">
      <w:start w:val="1"/>
      <w:numFmt w:val="lowerLetter"/>
      <w:lvlText w:val="%5)"/>
      <w:lvlJc w:val="left"/>
      <w:pPr>
        <w:ind w:left="2700" w:hanging="420"/>
      </w:pPr>
      <w:rPr>
        <w:rFonts w:hint="eastAsia"/>
      </w:rPr>
    </w:lvl>
    <w:lvl w:ilvl="5">
      <w:start w:val="1"/>
      <w:numFmt w:val="lowerRoman"/>
      <w:lvlText w:val="%6."/>
      <w:lvlJc w:val="right"/>
      <w:pPr>
        <w:ind w:left="3120" w:hanging="420"/>
      </w:pPr>
      <w:rPr>
        <w:rFonts w:hint="eastAsia"/>
      </w:rPr>
    </w:lvl>
    <w:lvl w:ilvl="6">
      <w:start w:val="1"/>
      <w:numFmt w:val="decimal"/>
      <w:lvlText w:val="%7."/>
      <w:lvlJc w:val="left"/>
      <w:pPr>
        <w:ind w:left="3540" w:hanging="420"/>
      </w:pPr>
      <w:rPr>
        <w:rFonts w:hint="eastAsia"/>
      </w:rPr>
    </w:lvl>
    <w:lvl w:ilvl="7">
      <w:start w:val="1"/>
      <w:numFmt w:val="lowerLetter"/>
      <w:lvlText w:val="%8)"/>
      <w:lvlJc w:val="left"/>
      <w:pPr>
        <w:ind w:left="3960" w:hanging="420"/>
      </w:pPr>
      <w:rPr>
        <w:rFonts w:hint="eastAsia"/>
      </w:rPr>
    </w:lvl>
    <w:lvl w:ilvl="8">
      <w:start w:val="1"/>
      <w:numFmt w:val="lowerRoman"/>
      <w:lvlText w:val="%9."/>
      <w:lvlJc w:val="right"/>
      <w:pPr>
        <w:ind w:left="4380" w:hanging="420"/>
      </w:pPr>
      <w:rPr>
        <w:rFonts w:hint="eastAsia"/>
      </w:rPr>
    </w:lvl>
  </w:abstractNum>
  <w:abstractNum w:abstractNumId="27">
    <w:nsid w:val="7D2D03C1"/>
    <w:multiLevelType w:val="multilevel"/>
    <w:tmpl w:val="60C4C20C"/>
    <w:lvl w:ilvl="0">
      <w:start w:val="1"/>
      <w:numFmt w:val="chineseCountingThousand"/>
      <w:lvlText w:val="（%1）"/>
      <w:lvlJc w:val="left"/>
      <w:pPr>
        <w:ind w:left="1020" w:hanging="420"/>
      </w:pPr>
      <w:rPr>
        <w:rFonts w:hint="eastAsia"/>
      </w:rPr>
    </w:lvl>
    <w:lvl w:ilvl="1">
      <w:start w:val="1"/>
      <w:numFmt w:val="lowerLetter"/>
      <w:lvlText w:val="%2)"/>
      <w:lvlJc w:val="left"/>
      <w:pPr>
        <w:ind w:left="1440" w:hanging="420"/>
      </w:pPr>
      <w:rPr>
        <w:rFonts w:hint="eastAsia"/>
      </w:rPr>
    </w:lvl>
    <w:lvl w:ilvl="2">
      <w:start w:val="1"/>
      <w:numFmt w:val="lowerRoman"/>
      <w:lvlText w:val="%3."/>
      <w:lvlJc w:val="right"/>
      <w:pPr>
        <w:ind w:left="1860" w:hanging="420"/>
      </w:pPr>
      <w:rPr>
        <w:rFonts w:hint="eastAsia"/>
      </w:rPr>
    </w:lvl>
    <w:lvl w:ilvl="3">
      <w:start w:val="1"/>
      <w:numFmt w:val="decimal"/>
      <w:lvlText w:val="%4."/>
      <w:lvlJc w:val="left"/>
      <w:pPr>
        <w:ind w:left="2280" w:hanging="420"/>
      </w:pPr>
      <w:rPr>
        <w:rFonts w:hint="eastAsia"/>
      </w:rPr>
    </w:lvl>
    <w:lvl w:ilvl="4">
      <w:start w:val="1"/>
      <w:numFmt w:val="lowerLetter"/>
      <w:lvlText w:val="%5)"/>
      <w:lvlJc w:val="left"/>
      <w:pPr>
        <w:ind w:left="2700" w:hanging="420"/>
      </w:pPr>
      <w:rPr>
        <w:rFonts w:hint="eastAsia"/>
      </w:rPr>
    </w:lvl>
    <w:lvl w:ilvl="5">
      <w:start w:val="1"/>
      <w:numFmt w:val="lowerRoman"/>
      <w:lvlText w:val="%6."/>
      <w:lvlJc w:val="right"/>
      <w:pPr>
        <w:ind w:left="3120" w:hanging="420"/>
      </w:pPr>
      <w:rPr>
        <w:rFonts w:hint="eastAsia"/>
      </w:rPr>
    </w:lvl>
    <w:lvl w:ilvl="6">
      <w:start w:val="1"/>
      <w:numFmt w:val="decimal"/>
      <w:lvlText w:val="%7."/>
      <w:lvlJc w:val="left"/>
      <w:pPr>
        <w:ind w:left="3540" w:hanging="420"/>
      </w:pPr>
      <w:rPr>
        <w:rFonts w:hint="eastAsia"/>
      </w:rPr>
    </w:lvl>
    <w:lvl w:ilvl="7">
      <w:start w:val="1"/>
      <w:numFmt w:val="lowerLetter"/>
      <w:lvlText w:val="%8)"/>
      <w:lvlJc w:val="left"/>
      <w:pPr>
        <w:ind w:left="3960" w:hanging="420"/>
      </w:pPr>
      <w:rPr>
        <w:rFonts w:hint="eastAsia"/>
      </w:rPr>
    </w:lvl>
    <w:lvl w:ilvl="8">
      <w:start w:val="1"/>
      <w:numFmt w:val="lowerRoman"/>
      <w:lvlText w:val="%9."/>
      <w:lvlJc w:val="right"/>
      <w:pPr>
        <w:ind w:left="4380" w:hanging="420"/>
      </w:pPr>
      <w:rPr>
        <w:rFonts w:hint="eastAsia"/>
      </w:rPr>
    </w:lvl>
  </w:abstractNum>
  <w:abstractNum w:abstractNumId="28">
    <w:nsid w:val="7E50281F"/>
    <w:multiLevelType w:val="multilevel"/>
    <w:tmpl w:val="7E50281F"/>
    <w:lvl w:ilvl="0">
      <w:start w:val="1"/>
      <w:numFmt w:val="chineseCountingThousand"/>
      <w:lvlText w:val="第%1节"/>
      <w:lvlJc w:val="left"/>
      <w:pPr>
        <w:ind w:left="420" w:hanging="420"/>
      </w:pPr>
      <w:rPr>
        <w:rFonts w:ascii="Calibri" w:hAnsi="Calibri" w:cs="Times New Roman" w:hint="default"/>
        <w:color w:val="auto"/>
        <w:sz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8"/>
    </w:lvlOverride>
    <w:lvlOverride w:ilvl="1">
      <w:startOverride w:val="1"/>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num>
  <w:num w:numId="24">
    <w:abstractNumId w:val="1"/>
  </w:num>
  <w:num w:numId="25">
    <w:abstractNumId w:val="17"/>
  </w:num>
  <w:num w:numId="26">
    <w:abstractNumId w:val="22"/>
  </w:num>
  <w:num w:numId="27">
    <w:abstractNumId w:val="27"/>
  </w:num>
  <w:num w:numId="28">
    <w:abstractNumId w:val="16"/>
  </w:num>
  <w:num w:numId="29">
    <w:abstractNumId w:val="25"/>
  </w:num>
  <w:num w:numId="30">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7E10"/>
    <w:rsid w:val="000A7D57"/>
    <w:rsid w:val="00137E10"/>
    <w:rsid w:val="001A4C99"/>
    <w:rsid w:val="005370E4"/>
    <w:rsid w:val="00581F22"/>
    <w:rsid w:val="006E33BE"/>
    <w:rsid w:val="0072464D"/>
    <w:rsid w:val="008D0D6E"/>
    <w:rsid w:val="00907A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60" w:lineRule="exact"/>
        <w:ind w:firstLine="56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E10"/>
    <w:pPr>
      <w:widowControl w:val="0"/>
      <w:spacing w:line="240" w:lineRule="auto"/>
      <w:ind w:firstLine="0"/>
      <w:jc w:val="both"/>
    </w:pPr>
    <w:rPr>
      <w:rFonts w:ascii="Calibri" w:eastAsia="宋体" w:hAnsi="Calibri" w:cs="Times New Roman"/>
    </w:rPr>
  </w:style>
  <w:style w:type="paragraph" w:styleId="1">
    <w:name w:val="heading 1"/>
    <w:basedOn w:val="a"/>
    <w:next w:val="a"/>
    <w:link w:val="1Char"/>
    <w:uiPriority w:val="9"/>
    <w:qFormat/>
    <w:rsid w:val="00137E10"/>
    <w:pPr>
      <w:keepNext/>
      <w:keepLines/>
      <w:spacing w:before="340" w:after="330" w:line="576" w:lineRule="auto"/>
      <w:outlineLvl w:val="0"/>
    </w:pPr>
    <w:rPr>
      <w:rFonts w:ascii="Times New Roman" w:hAnsi="Times New Roman"/>
      <w:b/>
      <w:bCs/>
      <w:kern w:val="44"/>
      <w:sz w:val="44"/>
      <w:szCs w:val="44"/>
    </w:rPr>
  </w:style>
  <w:style w:type="paragraph" w:styleId="2">
    <w:name w:val="heading 2"/>
    <w:basedOn w:val="a"/>
    <w:next w:val="a"/>
    <w:link w:val="2Char"/>
    <w:uiPriority w:val="9"/>
    <w:unhideWhenUsed/>
    <w:qFormat/>
    <w:rsid w:val="00137E10"/>
    <w:pPr>
      <w:keepNext/>
      <w:keepLines/>
      <w:spacing w:before="260" w:after="260" w:line="415"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137E10"/>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sid w:val="00137E10"/>
    <w:rPr>
      <w:rFonts w:ascii="Cambria" w:eastAsia="宋体" w:hAnsi="Cambria" w:cs="Times New Roman"/>
      <w:b/>
      <w:bCs/>
      <w:sz w:val="32"/>
      <w:szCs w:val="32"/>
    </w:rPr>
  </w:style>
  <w:style w:type="paragraph" w:styleId="a3">
    <w:name w:val="footer"/>
    <w:basedOn w:val="a"/>
    <w:link w:val="Char"/>
    <w:uiPriority w:val="99"/>
    <w:unhideWhenUsed/>
    <w:qFormat/>
    <w:rsid w:val="00137E10"/>
    <w:pPr>
      <w:tabs>
        <w:tab w:val="center" w:pos="4153"/>
        <w:tab w:val="right" w:pos="8306"/>
      </w:tabs>
      <w:snapToGrid w:val="0"/>
      <w:jc w:val="left"/>
    </w:pPr>
    <w:rPr>
      <w:sz w:val="18"/>
      <w:szCs w:val="18"/>
    </w:rPr>
  </w:style>
  <w:style w:type="character" w:customStyle="1" w:styleId="Char">
    <w:name w:val="页脚 Char"/>
    <w:basedOn w:val="a0"/>
    <w:link w:val="a3"/>
    <w:uiPriority w:val="99"/>
    <w:rsid w:val="00137E10"/>
    <w:rPr>
      <w:rFonts w:ascii="Calibri" w:eastAsia="宋体" w:hAnsi="Calibri" w:cs="Times New Roman"/>
      <w:sz w:val="18"/>
      <w:szCs w:val="18"/>
    </w:rPr>
  </w:style>
  <w:style w:type="paragraph" w:styleId="a4">
    <w:name w:val="Body Text Indent"/>
    <w:basedOn w:val="a"/>
    <w:link w:val="Char0"/>
    <w:unhideWhenUsed/>
    <w:qFormat/>
    <w:rsid w:val="00137E10"/>
    <w:pPr>
      <w:ind w:firstLine="600"/>
    </w:pPr>
    <w:rPr>
      <w:rFonts w:ascii="Times New Roman" w:eastAsia="仿宋_GB2312" w:hAnsi="Times New Roman"/>
      <w:sz w:val="30"/>
      <w:szCs w:val="24"/>
    </w:rPr>
  </w:style>
  <w:style w:type="character" w:customStyle="1" w:styleId="Char0">
    <w:name w:val="正文文本缩进 Char"/>
    <w:basedOn w:val="a0"/>
    <w:link w:val="a4"/>
    <w:qFormat/>
    <w:rsid w:val="00137E10"/>
    <w:rPr>
      <w:rFonts w:ascii="Times New Roman" w:eastAsia="仿宋_GB2312" w:hAnsi="Times New Roman" w:cs="Times New Roman"/>
      <w:sz w:val="30"/>
      <w:szCs w:val="24"/>
    </w:rPr>
  </w:style>
  <w:style w:type="paragraph" w:styleId="a5">
    <w:name w:val="Normal (Web)"/>
    <w:basedOn w:val="a"/>
    <w:link w:val="Char1"/>
    <w:uiPriority w:val="99"/>
    <w:unhideWhenUsed/>
    <w:qFormat/>
    <w:rsid w:val="00137E10"/>
    <w:pPr>
      <w:widowControl/>
      <w:spacing w:before="100" w:beforeAutospacing="1" w:after="100" w:afterAutospacing="1"/>
      <w:jc w:val="left"/>
    </w:pPr>
    <w:rPr>
      <w:rFonts w:ascii="宋体" w:hAnsi="宋体" w:cs="宋体"/>
      <w:kern w:val="0"/>
      <w:sz w:val="24"/>
      <w:szCs w:val="24"/>
    </w:rPr>
  </w:style>
  <w:style w:type="character" w:customStyle="1" w:styleId="Char2">
    <w:name w:val="条 Char"/>
    <w:link w:val="a6"/>
    <w:qFormat/>
    <w:locked/>
    <w:rsid w:val="00137E10"/>
    <w:rPr>
      <w:rFonts w:ascii="仿宋_GB2312" w:eastAsia="仿宋_GB2312" w:hAnsi="仿宋" w:cs="Times New Roman"/>
      <w:sz w:val="32"/>
      <w:szCs w:val="32"/>
    </w:rPr>
  </w:style>
  <w:style w:type="paragraph" w:customStyle="1" w:styleId="a6">
    <w:name w:val="条"/>
    <w:basedOn w:val="a"/>
    <w:link w:val="Char2"/>
    <w:qFormat/>
    <w:rsid w:val="00137E10"/>
    <w:pPr>
      <w:spacing w:line="560" w:lineRule="exact"/>
      <w:ind w:firstLineChars="200" w:firstLine="640"/>
    </w:pPr>
    <w:rPr>
      <w:rFonts w:ascii="仿宋_GB2312" w:eastAsia="仿宋_GB2312" w:hAnsi="仿宋"/>
      <w:sz w:val="32"/>
      <w:szCs w:val="32"/>
    </w:rPr>
  </w:style>
  <w:style w:type="character" w:customStyle="1" w:styleId="Char1">
    <w:name w:val="普通(网站) Char"/>
    <w:link w:val="a5"/>
    <w:uiPriority w:val="99"/>
    <w:qFormat/>
    <w:rsid w:val="00137E10"/>
    <w:rPr>
      <w:rFonts w:ascii="宋体" w:eastAsia="宋体" w:hAnsi="宋体" w:cs="宋体"/>
      <w:kern w:val="0"/>
      <w:sz w:val="24"/>
      <w:szCs w:val="24"/>
    </w:rPr>
  </w:style>
  <w:style w:type="paragraph" w:styleId="a7">
    <w:name w:val="header"/>
    <w:basedOn w:val="a"/>
    <w:link w:val="Char3"/>
    <w:uiPriority w:val="99"/>
    <w:semiHidden/>
    <w:unhideWhenUsed/>
    <w:rsid w:val="005370E4"/>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semiHidden/>
    <w:rsid w:val="005370E4"/>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35</Pages>
  <Words>2421</Words>
  <Characters>13805</Characters>
  <Application>Microsoft Office Word</Application>
  <DocSecurity>0</DocSecurity>
  <Lines>115</Lines>
  <Paragraphs>32</Paragraphs>
  <ScaleCrop>false</ScaleCrop>
  <Company/>
  <LinksUpToDate>false</LinksUpToDate>
  <CharactersWithSpaces>16194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连璐(拟稿)</cp:lastModifiedBy>
  <dcterms:created xsi:type="dcterms:W3CDTF">2022-01-26T07:53:00Z</dcterms:created>
  <dcterms:modified xsi:type="dcterms:W3CDTF">2022-01-27T04:46:00Z</dcterms:modified>
</cp:coreProperties>
</file>